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方正黑体简体" w:eastAsia="方正黑体简体"/>
          <w:sz w:val="32"/>
          <w:szCs w:val="32"/>
        </w:rPr>
      </w:pPr>
      <w:r>
        <w:rPr>
          <w:rFonts w:hint="eastAsia" w:ascii="方正黑体简体" w:eastAsia="方正黑体简体"/>
          <w:sz w:val="32"/>
          <w:szCs w:val="32"/>
        </w:rPr>
        <w:t>附件1</w:t>
      </w:r>
    </w:p>
    <w:p>
      <w:pPr>
        <w:spacing w:before="249" w:beforeLines="80" w:after="156" w:afterLines="50" w:line="600" w:lineRule="exact"/>
        <w:jc w:val="center"/>
        <w:rPr>
          <w:rFonts w:ascii="方正小标宋简体" w:eastAsia="方正小标宋简体"/>
          <w:sz w:val="36"/>
          <w:szCs w:val="36"/>
        </w:rPr>
      </w:pPr>
      <w:r>
        <w:rPr>
          <w:rFonts w:hint="eastAsia" w:ascii="方正小标宋简体" w:eastAsia="方正小标宋简体"/>
          <w:sz w:val="36"/>
          <w:szCs w:val="36"/>
        </w:rPr>
        <w:t>制造业单项冠军申报企业主要竞争对手产量比照表</w:t>
      </w:r>
    </w:p>
    <w:p>
      <w:pPr>
        <w:spacing w:line="600" w:lineRule="exact"/>
        <w:rPr>
          <w:rFonts w:asciiTheme="minorEastAsia" w:hAnsiTheme="minorEastAsia"/>
          <w:sz w:val="24"/>
          <w:szCs w:val="32"/>
        </w:rPr>
      </w:pPr>
      <w:r>
        <w:rPr>
          <w:rFonts w:hint="eastAsia" w:asciiTheme="minorEastAsia" w:hAnsiTheme="minorEastAsia"/>
          <w:sz w:val="24"/>
          <w:szCs w:val="32"/>
        </w:rPr>
        <w:t>填报企业（盖章）：</w:t>
      </w:r>
    </w:p>
    <w:tbl>
      <w:tblPr>
        <w:tblStyle w:val="8"/>
        <w:tblW w:w="138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2404"/>
        <w:gridCol w:w="1550"/>
        <w:gridCol w:w="1726"/>
        <w:gridCol w:w="1374"/>
        <w:gridCol w:w="1550"/>
        <w:gridCol w:w="1550"/>
        <w:gridCol w:w="155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374" w:type="dxa"/>
            <w:gridSpan w:val="4"/>
            <w:tcBorders>
              <w:top w:val="single" w:color="auto" w:sz="12" w:space="0"/>
              <w:left w:val="single" w:color="auto" w:sz="12" w:space="0"/>
            </w:tcBorders>
            <w:vAlign w:val="center"/>
          </w:tcPr>
          <w:p>
            <w:pPr>
              <w:spacing w:line="600" w:lineRule="exact"/>
              <w:rPr>
                <w:rFonts w:asciiTheme="minorEastAsia" w:hAnsiTheme="minorEastAsia"/>
                <w:szCs w:val="21"/>
              </w:rPr>
            </w:pPr>
            <w:r>
              <w:rPr>
                <w:rFonts w:hint="eastAsia" w:asciiTheme="minorEastAsia" w:hAnsiTheme="minorEastAsia"/>
                <w:szCs w:val="21"/>
              </w:rPr>
              <w:t>申报产品准确名称：</w:t>
            </w:r>
          </w:p>
        </w:tc>
        <w:tc>
          <w:tcPr>
            <w:tcW w:w="7503" w:type="dxa"/>
            <w:gridSpan w:val="5"/>
            <w:tcBorders>
              <w:top w:val="single" w:color="auto" w:sz="12" w:space="0"/>
              <w:right w:val="single" w:color="auto" w:sz="12" w:space="0"/>
            </w:tcBorders>
            <w:vAlign w:val="center"/>
          </w:tcPr>
          <w:p>
            <w:pPr>
              <w:spacing w:line="600" w:lineRule="exact"/>
              <w:rPr>
                <w:rFonts w:asciiTheme="minorEastAsia" w:hAnsiTheme="minorEastAsia"/>
                <w:szCs w:val="21"/>
              </w:rPr>
            </w:pPr>
            <w:r>
              <w:rPr>
                <w:rFonts w:hint="eastAsia" w:asciiTheme="minorEastAsia" w:hAnsiTheme="minorEastAsia"/>
                <w:szCs w:val="21"/>
              </w:rPr>
              <w:t>对应的</w:t>
            </w:r>
            <w:r>
              <w:rPr>
                <w:rFonts w:asciiTheme="minorEastAsia" w:hAnsiTheme="minorEastAsia"/>
                <w:szCs w:val="21"/>
              </w:rPr>
              <w:t>8位或10位统计代码：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374" w:type="dxa"/>
            <w:gridSpan w:val="4"/>
            <w:tcBorders>
              <w:left w:val="single" w:color="auto" w:sz="12" w:space="0"/>
            </w:tcBorders>
            <w:vAlign w:val="center"/>
          </w:tcPr>
          <w:p>
            <w:pPr>
              <w:spacing w:line="600" w:lineRule="exact"/>
              <w:rPr>
                <w:rFonts w:asciiTheme="minorEastAsia" w:hAnsiTheme="minorEastAsia"/>
                <w:szCs w:val="21"/>
              </w:rPr>
            </w:pPr>
            <w:r>
              <w:rPr>
                <w:rFonts w:asciiTheme="minorEastAsia" w:hAnsiTheme="minorEastAsia"/>
                <w:szCs w:val="21"/>
              </w:rPr>
              <w:t>2020年产能：</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 xml:space="preserve">单位： </w:t>
            </w:r>
            <w:r>
              <w:rPr>
                <w:rFonts w:asciiTheme="minorEastAsia" w:hAnsiTheme="minorEastAsia"/>
                <w:szCs w:val="21"/>
              </w:rPr>
              <w:t xml:space="preserve">            </w:t>
            </w:r>
          </w:p>
        </w:tc>
        <w:tc>
          <w:tcPr>
            <w:tcW w:w="7503" w:type="dxa"/>
            <w:gridSpan w:val="5"/>
            <w:tcBorders>
              <w:right w:val="single" w:color="auto" w:sz="12" w:space="0"/>
            </w:tcBorders>
            <w:vAlign w:val="center"/>
          </w:tcPr>
          <w:p>
            <w:pPr>
              <w:spacing w:line="600" w:lineRule="exact"/>
              <w:rPr>
                <w:rFonts w:asciiTheme="minorEastAsia" w:hAnsiTheme="minorEastAsia"/>
                <w:szCs w:val="21"/>
              </w:rPr>
            </w:pPr>
            <w:r>
              <w:rPr>
                <w:rFonts w:asciiTheme="minorEastAsia" w:hAnsiTheme="minorEastAsia"/>
                <w:szCs w:val="21"/>
              </w:rPr>
              <w:t>2020年产</w:t>
            </w:r>
            <w:r>
              <w:rPr>
                <w:rFonts w:hint="eastAsia" w:asciiTheme="minorEastAsia" w:hAnsiTheme="minorEastAsia"/>
                <w:szCs w:val="21"/>
              </w:rPr>
              <w:t>量</w:t>
            </w:r>
            <w:r>
              <w:rPr>
                <w:rFonts w:asciiTheme="minorEastAsia" w:hAnsiTheme="minorEastAsia"/>
                <w:szCs w:val="21"/>
              </w:rPr>
              <w:t>：</w:t>
            </w:r>
            <w:r>
              <w:rPr>
                <w:rFonts w:hint="eastAsia" w:asciiTheme="minorEastAsia" w:hAnsiTheme="minorEastAsia"/>
                <w:szCs w:val="21"/>
              </w:rPr>
              <w:t xml:space="preserve"> </w:t>
            </w:r>
            <w:r>
              <w:rPr>
                <w:rFonts w:asciiTheme="minorEastAsia" w:hAnsiTheme="minorEastAsia"/>
                <w:szCs w:val="21"/>
              </w:rPr>
              <w:t xml:space="preserve">                         </w:t>
            </w:r>
            <w:r>
              <w:rPr>
                <w:rFonts w:hint="eastAsia" w:asciiTheme="minorEastAsia" w:hAnsiTheme="minorEastAsia"/>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374" w:type="dxa"/>
            <w:gridSpan w:val="4"/>
            <w:tcBorders>
              <w:left w:val="single" w:color="auto" w:sz="12" w:space="0"/>
              <w:bottom w:val="single" w:color="auto" w:sz="12" w:space="0"/>
            </w:tcBorders>
            <w:vAlign w:val="center"/>
          </w:tcPr>
          <w:p>
            <w:pPr>
              <w:spacing w:line="600" w:lineRule="exact"/>
              <w:rPr>
                <w:rFonts w:asciiTheme="minorEastAsia" w:hAnsiTheme="minorEastAsia"/>
                <w:szCs w:val="21"/>
              </w:rPr>
            </w:pPr>
            <w:r>
              <w:rPr>
                <w:rFonts w:asciiTheme="minorEastAsia" w:hAnsiTheme="minorEastAsia"/>
                <w:szCs w:val="21"/>
              </w:rPr>
              <w:t>2020年产</w:t>
            </w:r>
            <w:r>
              <w:rPr>
                <w:rFonts w:hint="eastAsia" w:asciiTheme="minorEastAsia" w:hAnsiTheme="minorEastAsia"/>
                <w:szCs w:val="21"/>
              </w:rPr>
              <w:t>量全球排位：</w:t>
            </w:r>
          </w:p>
        </w:tc>
        <w:tc>
          <w:tcPr>
            <w:tcW w:w="7503" w:type="dxa"/>
            <w:gridSpan w:val="5"/>
            <w:tcBorders>
              <w:bottom w:val="single" w:color="auto" w:sz="12" w:space="0"/>
              <w:right w:val="single" w:color="auto" w:sz="12" w:space="0"/>
            </w:tcBorders>
            <w:vAlign w:val="center"/>
          </w:tcPr>
          <w:p>
            <w:pPr>
              <w:spacing w:line="600" w:lineRule="exact"/>
              <w:rPr>
                <w:rFonts w:asciiTheme="minorEastAsia" w:hAnsiTheme="minorEastAsia"/>
                <w:szCs w:val="21"/>
              </w:rPr>
            </w:pPr>
            <w:r>
              <w:rPr>
                <w:rFonts w:asciiTheme="minorEastAsia" w:hAnsiTheme="minorEastAsia"/>
                <w:szCs w:val="21"/>
              </w:rPr>
              <w:t>2020年产</w:t>
            </w:r>
            <w:r>
              <w:rPr>
                <w:rFonts w:hint="eastAsia" w:asciiTheme="minorEastAsia" w:hAnsiTheme="minorEastAsia"/>
                <w:szCs w:val="21"/>
              </w:rPr>
              <w:t>量全国排位：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77" w:type="dxa"/>
            <w:gridSpan w:val="9"/>
            <w:tcBorders>
              <w:left w:val="single" w:color="auto" w:sz="12" w:space="0"/>
              <w:right w:val="single" w:color="auto" w:sz="12" w:space="0"/>
            </w:tcBorders>
            <w:vAlign w:val="center"/>
          </w:tcPr>
          <w:p>
            <w:pPr>
              <w:spacing w:line="600" w:lineRule="exact"/>
              <w:jc w:val="center"/>
              <w:rPr>
                <w:rFonts w:ascii="方正黑体简体" w:eastAsia="方正黑体简体"/>
                <w:sz w:val="32"/>
                <w:szCs w:val="32"/>
              </w:rPr>
            </w:pPr>
            <w:r>
              <w:rPr>
                <w:rFonts w:hint="eastAsia" w:ascii="方正黑体简体" w:eastAsia="方正黑体简体"/>
                <w:sz w:val="32"/>
                <w:szCs w:val="32"/>
              </w:rPr>
              <w:t>同行业同一产品产能产量情况表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restart"/>
            <w:tcBorders>
              <w:left w:val="single" w:color="auto" w:sz="12" w:space="0"/>
            </w:tcBorders>
            <w:vAlign w:val="center"/>
          </w:tcPr>
          <w:p>
            <w:pPr>
              <w:jc w:val="center"/>
            </w:pPr>
            <w:r>
              <w:rPr>
                <w:rFonts w:hint="eastAsia"/>
              </w:rPr>
              <w:t>序号</w:t>
            </w:r>
          </w:p>
        </w:tc>
        <w:tc>
          <w:tcPr>
            <w:tcW w:w="2404" w:type="dxa"/>
            <w:vMerge w:val="restart"/>
            <w:vAlign w:val="center"/>
          </w:tcPr>
          <w:p>
            <w:pPr>
              <w:jc w:val="center"/>
            </w:pPr>
            <w:r>
              <w:t>企业名称</w:t>
            </w:r>
          </w:p>
          <w:p>
            <w:pPr>
              <w:jc w:val="center"/>
            </w:pPr>
            <w:r>
              <w:t>（国别）</w:t>
            </w:r>
          </w:p>
        </w:tc>
        <w:tc>
          <w:tcPr>
            <w:tcW w:w="1550" w:type="dxa"/>
            <w:vMerge w:val="restart"/>
            <w:vAlign w:val="center"/>
          </w:tcPr>
          <w:p>
            <w:pPr>
              <w:jc w:val="center"/>
            </w:pPr>
            <w:r>
              <w:t>产品名称</w:t>
            </w:r>
          </w:p>
        </w:tc>
        <w:tc>
          <w:tcPr>
            <w:tcW w:w="31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产能（单位：　万吨　）</w:t>
            </w:r>
          </w:p>
        </w:tc>
        <w:tc>
          <w:tcPr>
            <w:tcW w:w="3100" w:type="dxa"/>
            <w:gridSpan w:val="2"/>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产量（单位：　万吨　）</w:t>
            </w:r>
          </w:p>
        </w:tc>
        <w:tc>
          <w:tcPr>
            <w:tcW w:w="1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20</w:t>
            </w:r>
            <w:r>
              <w:t>20</w:t>
            </w:r>
            <w:r>
              <w:rPr>
                <w:rFonts w:hint="eastAsia"/>
              </w:rPr>
              <w:t>产量</w:t>
            </w:r>
          </w:p>
          <w:p>
            <w:pPr>
              <w:widowControl/>
              <w:jc w:val="center"/>
            </w:pPr>
            <w:r>
              <w:rPr>
                <w:rFonts w:hint="eastAsia"/>
              </w:rPr>
              <w:t>全球排位</w:t>
            </w:r>
          </w:p>
        </w:tc>
        <w:tc>
          <w:tcPr>
            <w:tcW w:w="1479" w:type="dxa"/>
            <w:vMerge w:val="restart"/>
            <w:tcBorders>
              <w:top w:val="single" w:color="auto" w:sz="4" w:space="0"/>
              <w:left w:val="single" w:color="auto" w:sz="4" w:space="0"/>
              <w:bottom w:val="single" w:color="auto" w:sz="4" w:space="0"/>
              <w:right w:val="single" w:color="auto" w:sz="12" w:space="0"/>
            </w:tcBorders>
            <w:shd w:val="clear" w:color="auto" w:fill="auto"/>
            <w:vAlign w:val="center"/>
          </w:tcPr>
          <w:p>
            <w:pPr>
              <w:jc w:val="center"/>
            </w:pPr>
            <w:r>
              <w:rPr>
                <w:rFonts w:hint="eastAsia"/>
              </w:rPr>
              <w:t>20</w:t>
            </w:r>
            <w:r>
              <w:t>20</w:t>
            </w:r>
            <w:r>
              <w:rPr>
                <w:rFonts w:hint="eastAsia"/>
              </w:rPr>
              <w:t>产量</w:t>
            </w:r>
          </w:p>
          <w:p>
            <w:pPr>
              <w:jc w:val="center"/>
            </w:pPr>
            <w:r>
              <w:rPr>
                <w:rFonts w:hint="eastAsia"/>
              </w:rPr>
              <w:t>全国排位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4" w:type="dxa"/>
            <w:vMerge w:val="continue"/>
            <w:tcBorders>
              <w:left w:val="single" w:color="auto" w:sz="12" w:space="0"/>
            </w:tcBorders>
          </w:tcPr>
          <w:p>
            <w:pPr>
              <w:spacing w:line="600" w:lineRule="exact"/>
              <w:rPr>
                <w:rFonts w:ascii="方正仿宋简体" w:eastAsia="方正仿宋简体"/>
                <w:sz w:val="32"/>
                <w:szCs w:val="32"/>
              </w:rPr>
            </w:pPr>
          </w:p>
        </w:tc>
        <w:tc>
          <w:tcPr>
            <w:tcW w:w="2404" w:type="dxa"/>
            <w:vMerge w:val="continue"/>
          </w:tcPr>
          <w:p>
            <w:pPr>
              <w:spacing w:line="600" w:lineRule="exact"/>
              <w:rPr>
                <w:rFonts w:ascii="方正仿宋简体" w:eastAsia="方正仿宋简体"/>
                <w:sz w:val="32"/>
                <w:szCs w:val="32"/>
              </w:rPr>
            </w:pPr>
          </w:p>
        </w:tc>
        <w:tc>
          <w:tcPr>
            <w:tcW w:w="1550" w:type="dxa"/>
            <w:vMerge w:val="continue"/>
          </w:tcPr>
          <w:p>
            <w:pPr>
              <w:spacing w:line="600" w:lineRule="exact"/>
              <w:rPr>
                <w:rFonts w:ascii="方正仿宋简体" w:eastAsia="方正仿宋简体"/>
                <w:sz w:val="32"/>
                <w:szCs w:val="32"/>
              </w:rPr>
            </w:pPr>
          </w:p>
        </w:tc>
        <w:tc>
          <w:tcPr>
            <w:tcW w:w="17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201</w:t>
            </w:r>
            <w:r>
              <w:t>9</w:t>
            </w:r>
            <w:r>
              <w:rPr>
                <w:rFonts w:hint="eastAsia"/>
              </w:rPr>
              <w:t>年</w:t>
            </w:r>
          </w:p>
        </w:tc>
        <w:tc>
          <w:tcPr>
            <w:tcW w:w="137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20</w:t>
            </w:r>
            <w:r>
              <w:t>20</w:t>
            </w:r>
            <w:r>
              <w:rPr>
                <w:rFonts w:hint="eastAsia"/>
              </w:rPr>
              <w:t>年</w:t>
            </w:r>
          </w:p>
        </w:tc>
        <w:tc>
          <w:tcPr>
            <w:tcW w:w="15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pPr>
            <w:r>
              <w:rPr>
                <w:rFonts w:hint="eastAsia"/>
              </w:rPr>
              <w:t>201</w:t>
            </w:r>
            <w:r>
              <w:t>9</w:t>
            </w:r>
            <w:r>
              <w:rPr>
                <w:rFonts w:hint="eastAsia"/>
              </w:rPr>
              <w:t>年</w:t>
            </w:r>
          </w:p>
        </w:tc>
        <w:tc>
          <w:tcPr>
            <w:tcW w:w="15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20</w:t>
            </w:r>
            <w:r>
              <w:t>20</w:t>
            </w:r>
            <w:r>
              <w:rPr>
                <w:rFonts w:hint="eastAsia"/>
              </w:rPr>
              <w:t>年</w:t>
            </w:r>
          </w:p>
        </w:tc>
        <w:tc>
          <w:tcPr>
            <w:tcW w:w="1550" w:type="dxa"/>
            <w:vMerge w:val="continue"/>
          </w:tcPr>
          <w:p>
            <w:pPr>
              <w:spacing w:line="600" w:lineRule="exact"/>
              <w:rPr>
                <w:rFonts w:ascii="方正仿宋简体" w:eastAsia="方正仿宋简体"/>
                <w:sz w:val="32"/>
                <w:szCs w:val="32"/>
              </w:rPr>
            </w:pPr>
          </w:p>
        </w:tc>
        <w:tc>
          <w:tcPr>
            <w:tcW w:w="1479" w:type="dxa"/>
            <w:vMerge w:val="continue"/>
            <w:tcBorders>
              <w:right w:val="single" w:color="auto" w:sz="12" w:space="0"/>
            </w:tcBorders>
          </w:tcPr>
          <w:p>
            <w:pPr>
              <w:spacing w:line="600" w:lineRule="exact"/>
              <w:rPr>
                <w:rFonts w:ascii="方正仿宋简体" w:eastAsia="方正仿宋简体"/>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tcBorders>
              <w:left w:val="single" w:color="auto" w:sz="12" w:space="0"/>
            </w:tcBorders>
            <w:vAlign w:val="center"/>
          </w:tcPr>
          <w:p>
            <w:pPr>
              <w:spacing w:line="600" w:lineRule="exact"/>
              <w:jc w:val="center"/>
              <w:rPr>
                <w:rFonts w:asciiTheme="minorEastAsia" w:hAnsiTheme="minorEastAsia"/>
                <w:szCs w:val="21"/>
              </w:rPr>
            </w:pPr>
            <w:r>
              <w:rPr>
                <w:rFonts w:hint="eastAsia" w:asciiTheme="minorEastAsia" w:hAnsiTheme="minorEastAsia"/>
                <w:szCs w:val="21"/>
              </w:rPr>
              <w:t>1</w:t>
            </w:r>
          </w:p>
        </w:tc>
        <w:tc>
          <w:tcPr>
            <w:tcW w:w="24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pPr>
            <w:r>
              <w:rPr>
                <w:rFonts w:hint="eastAsia"/>
              </w:rPr>
              <w:t>例：＊＊公司（德国）</w:t>
            </w:r>
          </w:p>
        </w:tc>
        <w:tc>
          <w:tcPr>
            <w:tcW w:w="1550" w:type="dxa"/>
            <w:tcBorders>
              <w:top w:val="single" w:color="auto" w:sz="4" w:space="0"/>
              <w:left w:val="nil"/>
              <w:bottom w:val="single" w:color="auto" w:sz="4" w:space="0"/>
              <w:right w:val="single" w:color="auto" w:sz="4" w:space="0"/>
            </w:tcBorders>
            <w:shd w:val="clear" w:color="auto" w:fill="auto"/>
            <w:vAlign w:val="center"/>
          </w:tcPr>
          <w:p>
            <w:r>
              <w:rPr>
                <w:rFonts w:hint="eastAsia"/>
              </w:rPr>
              <w:t>涤纶短纤维</w:t>
            </w:r>
          </w:p>
        </w:tc>
        <w:tc>
          <w:tcPr>
            <w:tcW w:w="1726"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450</w:t>
            </w:r>
          </w:p>
        </w:tc>
        <w:tc>
          <w:tcPr>
            <w:tcW w:w="1374"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550</w:t>
            </w:r>
          </w:p>
        </w:tc>
        <w:tc>
          <w:tcPr>
            <w:tcW w:w="15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400</w:t>
            </w:r>
          </w:p>
        </w:tc>
        <w:tc>
          <w:tcPr>
            <w:tcW w:w="15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500</w:t>
            </w:r>
          </w:p>
        </w:tc>
        <w:tc>
          <w:tcPr>
            <w:tcW w:w="1550"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rPr>
              <w:t>第二</w:t>
            </w:r>
          </w:p>
        </w:tc>
        <w:tc>
          <w:tcPr>
            <w:tcW w:w="1479" w:type="dxa"/>
            <w:tcBorders>
              <w:top w:val="single" w:color="auto" w:sz="4" w:space="0"/>
              <w:left w:val="nil"/>
              <w:bottom w:val="single" w:color="auto" w:sz="4" w:space="0"/>
              <w:right w:val="single" w:color="auto" w:sz="12" w:space="0"/>
            </w:tcBorders>
            <w:shd w:val="clear" w:color="auto" w:fill="auto"/>
            <w:vAlign w:val="center"/>
          </w:tcPr>
          <w:p>
            <w:pPr>
              <w:jc w:val="center"/>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tcBorders>
              <w:left w:val="single" w:color="auto" w:sz="12" w:space="0"/>
            </w:tcBorders>
            <w:vAlign w:val="center"/>
          </w:tcPr>
          <w:p>
            <w:pPr>
              <w:spacing w:line="600" w:lineRule="exact"/>
              <w:jc w:val="center"/>
              <w:rPr>
                <w:rFonts w:asciiTheme="minorEastAsia" w:hAnsiTheme="minorEastAsia"/>
                <w:szCs w:val="21"/>
              </w:rPr>
            </w:pPr>
            <w:r>
              <w:rPr>
                <w:rFonts w:hint="eastAsia" w:asciiTheme="minorEastAsia" w:hAnsiTheme="minorEastAsia"/>
                <w:szCs w:val="21"/>
              </w:rPr>
              <w:t>2</w:t>
            </w:r>
          </w:p>
        </w:tc>
        <w:tc>
          <w:tcPr>
            <w:tcW w:w="2404"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726" w:type="dxa"/>
          </w:tcPr>
          <w:p>
            <w:pPr>
              <w:spacing w:line="600" w:lineRule="exact"/>
              <w:rPr>
                <w:rFonts w:asciiTheme="minorEastAsia" w:hAnsiTheme="minorEastAsia"/>
                <w:szCs w:val="21"/>
              </w:rPr>
            </w:pPr>
          </w:p>
        </w:tc>
        <w:tc>
          <w:tcPr>
            <w:tcW w:w="1374"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479" w:type="dxa"/>
            <w:tcBorders>
              <w:right w:val="single" w:color="auto" w:sz="12" w:space="0"/>
            </w:tcBorders>
          </w:tcPr>
          <w:p>
            <w:pPr>
              <w:spacing w:line="60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tcBorders>
              <w:left w:val="single" w:color="auto" w:sz="12" w:space="0"/>
            </w:tcBorders>
            <w:vAlign w:val="center"/>
          </w:tcPr>
          <w:p>
            <w:pPr>
              <w:spacing w:line="600" w:lineRule="exact"/>
              <w:jc w:val="center"/>
              <w:rPr>
                <w:rFonts w:asciiTheme="minorEastAsia" w:hAnsiTheme="minorEastAsia"/>
                <w:szCs w:val="21"/>
              </w:rPr>
            </w:pPr>
            <w:r>
              <w:rPr>
                <w:rFonts w:hint="eastAsia" w:asciiTheme="minorEastAsia" w:hAnsiTheme="minorEastAsia"/>
                <w:szCs w:val="21"/>
              </w:rPr>
              <w:t>3</w:t>
            </w:r>
          </w:p>
        </w:tc>
        <w:tc>
          <w:tcPr>
            <w:tcW w:w="2404"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726" w:type="dxa"/>
          </w:tcPr>
          <w:p>
            <w:pPr>
              <w:spacing w:line="600" w:lineRule="exact"/>
              <w:rPr>
                <w:rFonts w:asciiTheme="minorEastAsia" w:hAnsiTheme="minorEastAsia"/>
                <w:szCs w:val="21"/>
              </w:rPr>
            </w:pPr>
          </w:p>
        </w:tc>
        <w:tc>
          <w:tcPr>
            <w:tcW w:w="1374"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479" w:type="dxa"/>
            <w:tcBorders>
              <w:right w:val="single" w:color="auto" w:sz="12" w:space="0"/>
            </w:tcBorders>
          </w:tcPr>
          <w:p>
            <w:pPr>
              <w:spacing w:line="60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tcBorders>
              <w:left w:val="single" w:color="auto" w:sz="12" w:space="0"/>
            </w:tcBorders>
            <w:vAlign w:val="center"/>
          </w:tcPr>
          <w:p>
            <w:pPr>
              <w:spacing w:line="600" w:lineRule="exact"/>
              <w:jc w:val="center"/>
              <w:rPr>
                <w:rFonts w:asciiTheme="minorEastAsia" w:hAnsiTheme="minorEastAsia"/>
                <w:szCs w:val="21"/>
              </w:rPr>
            </w:pPr>
            <w:r>
              <w:rPr>
                <w:rFonts w:hint="eastAsia" w:asciiTheme="minorEastAsia" w:hAnsiTheme="minorEastAsia"/>
                <w:szCs w:val="21"/>
              </w:rPr>
              <w:t>4</w:t>
            </w:r>
          </w:p>
        </w:tc>
        <w:tc>
          <w:tcPr>
            <w:tcW w:w="2404"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726" w:type="dxa"/>
          </w:tcPr>
          <w:p>
            <w:pPr>
              <w:spacing w:line="600" w:lineRule="exact"/>
              <w:rPr>
                <w:rFonts w:asciiTheme="minorEastAsia" w:hAnsiTheme="minorEastAsia"/>
                <w:szCs w:val="21"/>
              </w:rPr>
            </w:pPr>
          </w:p>
        </w:tc>
        <w:tc>
          <w:tcPr>
            <w:tcW w:w="1374"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550" w:type="dxa"/>
          </w:tcPr>
          <w:p>
            <w:pPr>
              <w:spacing w:line="600" w:lineRule="exact"/>
              <w:rPr>
                <w:rFonts w:asciiTheme="minorEastAsia" w:hAnsiTheme="minorEastAsia"/>
                <w:szCs w:val="21"/>
              </w:rPr>
            </w:pPr>
          </w:p>
        </w:tc>
        <w:tc>
          <w:tcPr>
            <w:tcW w:w="1479" w:type="dxa"/>
            <w:tcBorders>
              <w:right w:val="single" w:color="auto" w:sz="12" w:space="0"/>
            </w:tcBorders>
          </w:tcPr>
          <w:p>
            <w:pPr>
              <w:spacing w:line="600" w:lineRule="exact"/>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94" w:type="dxa"/>
            <w:tcBorders>
              <w:left w:val="single" w:color="auto" w:sz="12" w:space="0"/>
              <w:bottom w:val="single" w:color="auto" w:sz="12" w:space="0"/>
            </w:tcBorders>
            <w:vAlign w:val="center"/>
          </w:tcPr>
          <w:p>
            <w:pPr>
              <w:spacing w:line="600" w:lineRule="exact"/>
              <w:jc w:val="center"/>
              <w:rPr>
                <w:rFonts w:asciiTheme="minorEastAsia" w:hAnsiTheme="minorEastAsia"/>
                <w:szCs w:val="21"/>
              </w:rPr>
            </w:pPr>
            <w:r>
              <w:rPr>
                <w:rFonts w:hint="eastAsia" w:asciiTheme="minorEastAsia" w:hAnsiTheme="minorEastAsia"/>
                <w:szCs w:val="21"/>
              </w:rPr>
              <w:t>5</w:t>
            </w:r>
          </w:p>
        </w:tc>
        <w:tc>
          <w:tcPr>
            <w:tcW w:w="2404" w:type="dxa"/>
            <w:tcBorders>
              <w:bottom w:val="single" w:color="auto" w:sz="12" w:space="0"/>
            </w:tcBorders>
          </w:tcPr>
          <w:p>
            <w:pPr>
              <w:spacing w:line="600" w:lineRule="exact"/>
              <w:rPr>
                <w:rFonts w:asciiTheme="minorEastAsia" w:hAnsiTheme="minorEastAsia"/>
                <w:szCs w:val="21"/>
              </w:rPr>
            </w:pPr>
          </w:p>
        </w:tc>
        <w:tc>
          <w:tcPr>
            <w:tcW w:w="1550" w:type="dxa"/>
            <w:tcBorders>
              <w:bottom w:val="single" w:color="auto" w:sz="12" w:space="0"/>
            </w:tcBorders>
          </w:tcPr>
          <w:p>
            <w:pPr>
              <w:spacing w:line="600" w:lineRule="exact"/>
              <w:rPr>
                <w:rFonts w:asciiTheme="minorEastAsia" w:hAnsiTheme="minorEastAsia"/>
                <w:szCs w:val="21"/>
              </w:rPr>
            </w:pPr>
          </w:p>
        </w:tc>
        <w:tc>
          <w:tcPr>
            <w:tcW w:w="1726" w:type="dxa"/>
            <w:tcBorders>
              <w:bottom w:val="single" w:color="auto" w:sz="12" w:space="0"/>
            </w:tcBorders>
          </w:tcPr>
          <w:p>
            <w:pPr>
              <w:spacing w:line="600" w:lineRule="exact"/>
              <w:rPr>
                <w:rFonts w:asciiTheme="minorEastAsia" w:hAnsiTheme="minorEastAsia"/>
                <w:szCs w:val="21"/>
              </w:rPr>
            </w:pPr>
          </w:p>
        </w:tc>
        <w:tc>
          <w:tcPr>
            <w:tcW w:w="1374" w:type="dxa"/>
            <w:tcBorders>
              <w:bottom w:val="single" w:color="auto" w:sz="12" w:space="0"/>
            </w:tcBorders>
          </w:tcPr>
          <w:p>
            <w:pPr>
              <w:spacing w:line="600" w:lineRule="exact"/>
              <w:rPr>
                <w:rFonts w:asciiTheme="minorEastAsia" w:hAnsiTheme="minorEastAsia"/>
                <w:szCs w:val="21"/>
              </w:rPr>
            </w:pPr>
          </w:p>
        </w:tc>
        <w:tc>
          <w:tcPr>
            <w:tcW w:w="1550" w:type="dxa"/>
            <w:tcBorders>
              <w:bottom w:val="single" w:color="auto" w:sz="12" w:space="0"/>
            </w:tcBorders>
          </w:tcPr>
          <w:p>
            <w:pPr>
              <w:spacing w:line="600" w:lineRule="exact"/>
              <w:rPr>
                <w:rFonts w:asciiTheme="minorEastAsia" w:hAnsiTheme="minorEastAsia"/>
                <w:szCs w:val="21"/>
              </w:rPr>
            </w:pPr>
          </w:p>
        </w:tc>
        <w:tc>
          <w:tcPr>
            <w:tcW w:w="1550" w:type="dxa"/>
            <w:tcBorders>
              <w:bottom w:val="single" w:color="auto" w:sz="12" w:space="0"/>
            </w:tcBorders>
          </w:tcPr>
          <w:p>
            <w:pPr>
              <w:spacing w:line="600" w:lineRule="exact"/>
              <w:rPr>
                <w:rFonts w:asciiTheme="minorEastAsia" w:hAnsiTheme="minorEastAsia"/>
                <w:szCs w:val="21"/>
              </w:rPr>
            </w:pPr>
          </w:p>
        </w:tc>
        <w:tc>
          <w:tcPr>
            <w:tcW w:w="1550" w:type="dxa"/>
            <w:tcBorders>
              <w:bottom w:val="single" w:color="auto" w:sz="12" w:space="0"/>
            </w:tcBorders>
          </w:tcPr>
          <w:p>
            <w:pPr>
              <w:spacing w:line="600" w:lineRule="exact"/>
              <w:rPr>
                <w:rFonts w:asciiTheme="minorEastAsia" w:hAnsiTheme="minorEastAsia"/>
                <w:szCs w:val="21"/>
              </w:rPr>
            </w:pPr>
          </w:p>
        </w:tc>
        <w:tc>
          <w:tcPr>
            <w:tcW w:w="1479" w:type="dxa"/>
            <w:tcBorders>
              <w:bottom w:val="single" w:color="auto" w:sz="12" w:space="0"/>
              <w:right w:val="single" w:color="auto" w:sz="12" w:space="0"/>
            </w:tcBorders>
          </w:tcPr>
          <w:p>
            <w:pPr>
              <w:spacing w:line="600" w:lineRule="exact"/>
              <w:rPr>
                <w:rFonts w:asciiTheme="minorEastAsia" w:hAnsiTheme="minorEastAsia"/>
                <w:szCs w:val="21"/>
              </w:rPr>
            </w:pPr>
          </w:p>
        </w:tc>
      </w:tr>
    </w:tbl>
    <w:p>
      <w:pPr>
        <w:spacing w:line="600" w:lineRule="exact"/>
        <w:rPr>
          <w:rFonts w:ascii="方正仿宋简体" w:eastAsia="方正仿宋简体"/>
          <w:sz w:val="32"/>
          <w:szCs w:val="32"/>
        </w:rPr>
        <w:sectPr>
          <w:footerReference r:id="rId3" w:type="default"/>
          <w:footerReference r:id="rId4" w:type="even"/>
          <w:pgSz w:w="16838" w:h="11906" w:orient="landscape"/>
          <w:pgMar w:top="1800" w:right="1440" w:bottom="1800" w:left="1440" w:header="851" w:footer="992" w:gutter="0"/>
          <w:cols w:space="425" w:num="1"/>
          <w:docGrid w:type="lines" w:linePitch="312" w:charSpace="0"/>
        </w:sectPr>
      </w:pPr>
    </w:p>
    <w:p>
      <w:pPr>
        <w:spacing w:line="600" w:lineRule="exact"/>
        <w:rPr>
          <w:rFonts w:ascii="方正黑体简体" w:eastAsia="方正黑体简体"/>
          <w:sz w:val="32"/>
          <w:szCs w:val="32"/>
        </w:rPr>
      </w:pPr>
      <w:r>
        <w:rPr>
          <w:rFonts w:hint="eastAsia" w:ascii="方正黑体简体" w:eastAsia="方正黑体简体"/>
          <w:sz w:val="32"/>
          <w:szCs w:val="32"/>
        </w:rPr>
        <w:t>附件2</w:t>
      </w:r>
    </w:p>
    <w:p>
      <w:pPr>
        <w:spacing w:before="312" w:beforeLines="100" w:after="249" w:afterLines="80" w:line="600" w:lineRule="exact"/>
        <w:jc w:val="center"/>
        <w:rPr>
          <w:rFonts w:ascii="方正小标宋简体" w:eastAsia="方正小标宋简体"/>
          <w:sz w:val="36"/>
          <w:szCs w:val="44"/>
        </w:rPr>
      </w:pPr>
      <w:r>
        <w:rPr>
          <w:rFonts w:hint="eastAsia" w:ascii="方正仿宋简体" w:eastAsia="方正仿宋简体"/>
          <w:sz w:val="32"/>
          <w:szCs w:val="32"/>
        </w:rPr>
        <w:t>工信厅联政法函〔</w:t>
      </w:r>
      <w:r>
        <w:rPr>
          <w:rFonts w:ascii="方正仿宋简体" w:eastAsia="方正仿宋简体"/>
          <w:sz w:val="32"/>
          <w:szCs w:val="32"/>
        </w:rPr>
        <w:t>2021〕95号</w:t>
      </w:r>
    </w:p>
    <w:p>
      <w:pPr>
        <w:spacing w:line="600" w:lineRule="exact"/>
        <w:jc w:val="center"/>
        <w:rPr>
          <w:rFonts w:ascii="方正小标宋简体" w:eastAsia="方正小标宋简体"/>
          <w:sz w:val="36"/>
          <w:szCs w:val="44"/>
        </w:rPr>
      </w:pPr>
      <w:r>
        <w:rPr>
          <w:rFonts w:hint="eastAsia" w:ascii="方正小标宋简体" w:eastAsia="方正小标宋简体"/>
          <w:sz w:val="36"/>
          <w:szCs w:val="44"/>
        </w:rPr>
        <w:t>工业和信息化部办公厅 中国工业经济联合会</w:t>
      </w:r>
    </w:p>
    <w:p>
      <w:pPr>
        <w:spacing w:line="600" w:lineRule="exact"/>
        <w:jc w:val="center"/>
        <w:rPr>
          <w:rFonts w:ascii="方正小标宋简体" w:eastAsia="方正小标宋简体"/>
          <w:sz w:val="36"/>
          <w:szCs w:val="44"/>
        </w:rPr>
      </w:pPr>
      <w:r>
        <w:rPr>
          <w:rFonts w:hint="eastAsia" w:ascii="方正小标宋简体" w:eastAsia="方正小标宋简体"/>
          <w:sz w:val="36"/>
          <w:szCs w:val="44"/>
        </w:rPr>
        <w:t>关于组织推荐第六批制造业单项冠军和复核第三批</w:t>
      </w:r>
    </w:p>
    <w:p>
      <w:pPr>
        <w:spacing w:line="600" w:lineRule="exact"/>
        <w:jc w:val="center"/>
        <w:rPr>
          <w:rFonts w:ascii="方正小标宋简体" w:eastAsia="方正小标宋简体"/>
          <w:sz w:val="36"/>
          <w:szCs w:val="44"/>
        </w:rPr>
      </w:pPr>
      <w:r>
        <w:rPr>
          <w:rFonts w:hint="eastAsia" w:ascii="方正小标宋简体" w:eastAsia="方正小标宋简体"/>
          <w:sz w:val="36"/>
          <w:szCs w:val="44"/>
        </w:rPr>
        <w:t>制造业单项冠军的通知</w:t>
      </w:r>
    </w:p>
    <w:p>
      <w:pPr>
        <w:spacing w:before="312" w:beforeLines="100" w:line="560" w:lineRule="exact"/>
        <w:ind w:firstLine="640" w:firstLineChars="200"/>
        <w:rPr>
          <w:rFonts w:ascii="方正仿宋简体" w:eastAsia="方正仿宋简体"/>
          <w:sz w:val="32"/>
          <w:szCs w:val="32"/>
        </w:rPr>
      </w:pPr>
      <w:r>
        <w:rPr>
          <w:rFonts w:hint="eastAsia" w:ascii="方正仿宋简体" w:eastAsia="方正仿宋简体"/>
          <w:sz w:val="32"/>
          <w:szCs w:val="32"/>
        </w:rPr>
        <w:t>为贯彻落实党中央、国务院决策部署，加快培育一批制造业优质企业，促进提升产业基础能力和产业链现代化水平，根据《制造业单项冠军企业培育提升专项行动实施方案》（工信部产业〔</w:t>
      </w:r>
      <w:r>
        <w:rPr>
          <w:rFonts w:ascii="方正仿宋简体" w:eastAsia="方正仿宋简体"/>
          <w:sz w:val="32"/>
          <w:szCs w:val="32"/>
        </w:rPr>
        <w:t>2016〕105号，以下简称《实施方案》）部署，现组织开展第六批制造业单项冠军遴选和第三批制造业单项冠军复核工作。有关事项通知如下：</w:t>
      </w:r>
    </w:p>
    <w:p>
      <w:pPr>
        <w:spacing w:line="560" w:lineRule="exact"/>
        <w:ind w:firstLine="640" w:firstLineChars="200"/>
        <w:rPr>
          <w:rFonts w:ascii="方正黑体简体" w:eastAsia="方正黑体简体"/>
          <w:sz w:val="32"/>
          <w:szCs w:val="32"/>
        </w:rPr>
      </w:pPr>
      <w:r>
        <w:rPr>
          <w:rFonts w:hint="eastAsia" w:ascii="方正黑体简体" w:eastAsia="方正黑体简体"/>
          <w:sz w:val="32"/>
          <w:szCs w:val="32"/>
        </w:rPr>
        <w:t>一、第六批单项冠军申请条件及要求</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（一）基本条件。</w:t>
      </w:r>
      <w:r>
        <w:rPr>
          <w:rFonts w:hint="eastAsia" w:ascii="方正仿宋简体" w:eastAsia="方正仿宋简体"/>
          <w:sz w:val="32"/>
          <w:szCs w:val="32"/>
        </w:rPr>
        <w:t>制造业单项冠军包括单项冠军示范企业和单项冠军产品。须满足以下条件：</w:t>
      </w:r>
    </w:p>
    <w:p>
      <w:pPr>
        <w:spacing w:line="560" w:lineRule="exact"/>
        <w:ind w:firstLine="640" w:firstLineChars="200"/>
        <w:rPr>
          <w:rFonts w:ascii="方正仿宋简体" w:eastAsia="方正仿宋简体"/>
          <w:sz w:val="32"/>
          <w:szCs w:val="32"/>
        </w:rPr>
      </w:pPr>
      <w:r>
        <w:rPr>
          <w:rFonts w:ascii="方正仿宋简体" w:eastAsia="方正仿宋简体"/>
          <w:b/>
          <w:sz w:val="32"/>
          <w:szCs w:val="32"/>
        </w:rPr>
        <w:t>1.坚持专业化发展。</w:t>
      </w:r>
      <w:r>
        <w:rPr>
          <w:rFonts w:ascii="方正仿宋简体" w:eastAsia="方正仿宋简体"/>
          <w:sz w:val="32"/>
          <w:szCs w:val="32"/>
        </w:rPr>
        <w:t>企业长期专注并深耕于产业链某一环节或某一产品领域。从事相关领域10年及以上，属于新产品的应达到3年及以上。</w:t>
      </w:r>
    </w:p>
    <w:p>
      <w:pPr>
        <w:spacing w:line="560" w:lineRule="exact"/>
        <w:ind w:firstLine="640" w:firstLineChars="200"/>
        <w:rPr>
          <w:rFonts w:ascii="方正仿宋简体" w:eastAsia="方正仿宋简体"/>
          <w:sz w:val="32"/>
          <w:szCs w:val="32"/>
        </w:rPr>
      </w:pPr>
      <w:r>
        <w:rPr>
          <w:rFonts w:ascii="方正仿宋简体" w:eastAsia="方正仿宋简体"/>
          <w:b/>
          <w:sz w:val="32"/>
          <w:szCs w:val="32"/>
        </w:rPr>
        <w:t>2.市场份额全球领先。</w:t>
      </w:r>
      <w:r>
        <w:rPr>
          <w:rFonts w:ascii="方正仿宋简体" w:eastAsia="方正仿宋简体"/>
          <w:sz w:val="32"/>
          <w:szCs w:val="32"/>
        </w:rPr>
        <w:t>企业申请产品的市场占有率位居全球前三。产品类别原则上按照《统计用产品分类目录》8位或10位代码，难以准确归入的应符合行业普遍认可的惯例。</w:t>
      </w:r>
    </w:p>
    <w:p>
      <w:pPr>
        <w:spacing w:line="560" w:lineRule="exact"/>
        <w:ind w:firstLine="640" w:firstLineChars="200"/>
        <w:rPr>
          <w:rFonts w:ascii="方正仿宋简体" w:eastAsia="方正仿宋简体"/>
          <w:sz w:val="32"/>
          <w:szCs w:val="32"/>
        </w:rPr>
      </w:pPr>
      <w:r>
        <w:rPr>
          <w:rFonts w:ascii="方正仿宋简体" w:eastAsia="方正仿宋简体"/>
          <w:b/>
          <w:sz w:val="32"/>
          <w:szCs w:val="32"/>
        </w:rPr>
        <w:t>3.创新能力强。</w:t>
      </w:r>
      <w:r>
        <w:rPr>
          <w:rFonts w:ascii="方正仿宋简体" w:eastAsia="方正仿宋简体"/>
          <w:sz w:val="32"/>
          <w:szCs w:val="32"/>
        </w:rPr>
        <w:t>企业生产技术、工艺国际领先，重视研发投入，拥有核心自主知识产权，主导或参与制定相关领域技术标准。</w:t>
      </w:r>
    </w:p>
    <w:p>
      <w:pPr>
        <w:spacing w:line="560" w:lineRule="exact"/>
        <w:ind w:firstLine="640" w:firstLineChars="200"/>
        <w:rPr>
          <w:rFonts w:ascii="方正仿宋简体" w:eastAsia="方正仿宋简体"/>
          <w:sz w:val="32"/>
          <w:szCs w:val="32"/>
        </w:rPr>
      </w:pPr>
      <w:r>
        <w:rPr>
          <w:rFonts w:ascii="方正仿宋简体" w:eastAsia="方正仿宋简体"/>
          <w:b/>
          <w:sz w:val="32"/>
          <w:szCs w:val="32"/>
        </w:rPr>
        <w:t>4.质量效益高。</w:t>
      </w:r>
      <w:r>
        <w:rPr>
          <w:rFonts w:ascii="方正仿宋简体" w:eastAsia="方正仿宋简体"/>
          <w:sz w:val="32"/>
          <w:szCs w:val="32"/>
        </w:rPr>
        <w:t>企业申请产品质量精良，关键性能指标处于国际同类产品领先水平。经营业绩优秀，盈利能力超过行业企业的总体水平。重视并实施国际化经营和品牌战略，全球市场前景好，建立完善的品牌培育管理体系并取得良好成效。</w:t>
      </w:r>
    </w:p>
    <w:p>
      <w:pPr>
        <w:spacing w:line="560" w:lineRule="exact"/>
        <w:ind w:firstLine="640" w:firstLineChars="200"/>
        <w:rPr>
          <w:rFonts w:ascii="方正仿宋简体" w:eastAsia="方正仿宋简体"/>
          <w:sz w:val="32"/>
          <w:szCs w:val="32"/>
        </w:rPr>
      </w:pPr>
      <w:r>
        <w:rPr>
          <w:rFonts w:ascii="方正仿宋简体" w:eastAsia="方正仿宋简体"/>
          <w:b/>
          <w:sz w:val="32"/>
          <w:szCs w:val="32"/>
        </w:rPr>
        <w:t>5.具有独立法人资格，具有健全的财务、知识产权、技术标准、质量保证和安全生产等管理制度。</w:t>
      </w:r>
      <w:r>
        <w:rPr>
          <w:rFonts w:ascii="方正仿宋简体" w:eastAsia="方正仿宋简体"/>
          <w:sz w:val="32"/>
          <w:szCs w:val="32"/>
        </w:rPr>
        <w:t>近三年无环境、质量、安全违法记录，企业申请产品能耗达到能耗限额标准先进值，安全生产水平达到行业先进水平。</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（二）申请类别。</w:t>
      </w:r>
      <w:r>
        <w:rPr>
          <w:rFonts w:hint="eastAsia" w:ascii="方正仿宋简体" w:eastAsia="方正仿宋简体"/>
          <w:sz w:val="32"/>
          <w:szCs w:val="32"/>
        </w:rPr>
        <w:t>企业依据自身条件在单项冠军示范企业和单项冠军产品中择一申请（见附件</w:t>
      </w:r>
      <w:r>
        <w:rPr>
          <w:rFonts w:ascii="方正仿宋简体" w:eastAsia="方正仿宋简体"/>
          <w:sz w:val="32"/>
          <w:szCs w:val="32"/>
        </w:rPr>
        <w:t>1）。申请单项冠军示范企业的，相应产品的销售收入须占企业主营业务收入的70%以上。申请单项冠军产品的，只能申请一个产品。</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（三）重点产品领域。</w:t>
      </w:r>
      <w:r>
        <w:rPr>
          <w:rFonts w:hint="eastAsia" w:ascii="方正仿宋简体" w:eastAsia="方正仿宋简体"/>
          <w:sz w:val="32"/>
          <w:szCs w:val="32"/>
        </w:rPr>
        <w:t>为深入推进产业基础高级化、产业链现代化，加快推动制造强国建设，我部列出了单项冠军培育遴选重点领域（见附件</w:t>
      </w:r>
      <w:r>
        <w:rPr>
          <w:rFonts w:ascii="方正仿宋简体" w:eastAsia="方正仿宋简体"/>
          <w:sz w:val="32"/>
          <w:szCs w:val="32"/>
        </w:rPr>
        <w:t>2）。对重点领域企业和产品，尤其是重点领域补短板的，优先予以推荐。</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（四）完善梯度培育体系。</w:t>
      </w:r>
      <w:r>
        <w:rPr>
          <w:rFonts w:hint="eastAsia" w:ascii="方正仿宋简体" w:eastAsia="方正仿宋简体"/>
          <w:sz w:val="32"/>
          <w:szCs w:val="32"/>
        </w:rPr>
        <w:t>支持各地方、中央企业建立单项冠军储备库，将有潜力的企业纳入培育工作范围，建立健全梯度培育体系。梯度培育情况将与各地推荐名额挂钩。支持专精特新“小巨人”企业成长为单项冠军。年销售收入</w:t>
      </w:r>
      <w:r>
        <w:rPr>
          <w:rFonts w:ascii="方正仿宋简体" w:eastAsia="方正仿宋简体"/>
          <w:sz w:val="32"/>
          <w:szCs w:val="32"/>
        </w:rPr>
        <w:t>4亿元以下的企业，如申请单项冠军，应为已入选的专精特新“小巨人”企业。</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（五）推荐上报名额。</w:t>
      </w:r>
      <w:r>
        <w:rPr>
          <w:rFonts w:hint="eastAsia" w:ascii="方正仿宋简体" w:eastAsia="方正仿宋简体"/>
          <w:sz w:val="32"/>
          <w:szCs w:val="32"/>
        </w:rPr>
        <w:t>依据前五批遴选情况和各地梯度培育工作开展情况，我部研究确定了地方推荐名额上限（见附件</w:t>
      </w:r>
      <w:r>
        <w:rPr>
          <w:rFonts w:ascii="方正仿宋简体" w:eastAsia="方正仿宋简体"/>
          <w:sz w:val="32"/>
          <w:szCs w:val="32"/>
        </w:rPr>
        <w:t>3），请各地按照名额推荐上报。中央企业每家推荐数量不超过3家。前三批单项冠军培育企业满足申请条件并提出申请的，不占各推荐单位名额。</w:t>
      </w:r>
    </w:p>
    <w:p>
      <w:pPr>
        <w:spacing w:line="560" w:lineRule="exact"/>
        <w:ind w:firstLine="640" w:firstLineChars="200"/>
        <w:rPr>
          <w:rFonts w:ascii="方正仿宋简体" w:eastAsia="方正仿宋简体"/>
          <w:sz w:val="32"/>
          <w:szCs w:val="32"/>
        </w:rPr>
      </w:pPr>
      <w:r>
        <w:rPr>
          <w:rFonts w:hint="eastAsia" w:ascii="方正黑体简体" w:eastAsia="方正黑体简体"/>
          <w:sz w:val="32"/>
          <w:szCs w:val="32"/>
        </w:rPr>
        <w:t>二、第三批复核工作安排</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根据《实施方案》关于动态管理的要求，每</w:t>
      </w:r>
      <w:r>
        <w:rPr>
          <w:rFonts w:ascii="方正仿宋简体" w:eastAsia="方正仿宋简体"/>
          <w:sz w:val="32"/>
          <w:szCs w:val="32"/>
        </w:rPr>
        <w:t>3年对入选单项冠军进行一次评估复核。对符合条件的企业在公布的名单中予以保留，对不符合条件或未提交复核申请材料的企业从名单中予以撤销。</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各地工业和信息化主管部门、中央企业要组织第三批单项冠军示范企业及冠军产品企业填报《第三批制造业单项冠军复核申请表》（见附件</w:t>
      </w:r>
      <w:r>
        <w:rPr>
          <w:rFonts w:ascii="方正仿宋简体" w:eastAsia="方正仿宋简体"/>
          <w:sz w:val="32"/>
          <w:szCs w:val="32"/>
        </w:rPr>
        <w:t>4）并进行初审。单项冠军示范企业相应产品的销售收入达不到企业主营业务收入70%以上的，可申请复核相应产品为单项冠军产品。我部将组织开展复核，并组织专家赴部分企业现场核查。</w:t>
      </w:r>
    </w:p>
    <w:p>
      <w:pPr>
        <w:spacing w:line="560" w:lineRule="exact"/>
        <w:ind w:firstLine="640" w:firstLineChars="200"/>
        <w:rPr>
          <w:rFonts w:ascii="方正仿宋简体" w:eastAsia="方正仿宋简体"/>
          <w:sz w:val="32"/>
          <w:szCs w:val="32"/>
        </w:rPr>
      </w:pPr>
      <w:r>
        <w:rPr>
          <w:rFonts w:hint="eastAsia" w:ascii="方正黑体简体" w:eastAsia="方正黑体简体"/>
          <w:sz w:val="32"/>
          <w:szCs w:val="32"/>
        </w:rPr>
        <w:t>三、工作组织</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（一）组织单位。</w:t>
      </w:r>
      <w:r>
        <w:rPr>
          <w:rFonts w:hint="eastAsia" w:ascii="方正仿宋简体" w:eastAsia="方正仿宋简体"/>
          <w:sz w:val="32"/>
          <w:szCs w:val="32"/>
        </w:rPr>
        <w:t>各地工业和信息化主管部门商同级工业经济联合会负责属地企业的组织推荐、复核工作。中央企业负责本企业及下属法人企业的推荐、复核工作。工作中，相关政府部门、协会不得以任何形式向企业收取费用。</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（二）材料要求。</w:t>
      </w:r>
      <w:r>
        <w:rPr>
          <w:rFonts w:hint="eastAsia" w:ascii="方正仿宋简体" w:eastAsia="方正仿宋简体"/>
          <w:sz w:val="32"/>
          <w:szCs w:val="32"/>
        </w:rPr>
        <w:t>不要求企业提供各类证明材料，企业按要求提供说明材料，并对材料的真实性和准确性负责。</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（三）审核把关。</w:t>
      </w:r>
      <w:r>
        <w:rPr>
          <w:rFonts w:hint="eastAsia" w:ascii="方正仿宋简体" w:eastAsia="方正仿宋简体"/>
          <w:sz w:val="32"/>
          <w:szCs w:val="32"/>
        </w:rPr>
        <w:t>各地工业和信息化主管部门、中央企业要根据《实施方案》和本通知要求，对第六批单项冠军申请企业（产品）进行初步论证、择优推荐，确保推荐质量。对企业的市场占有率，独立法人地位，有无环境、质量、安全等方面违法记录予以重点把关。对第三批单项冠军复核工作要认真组织初审。</w:t>
      </w:r>
    </w:p>
    <w:p>
      <w:pPr>
        <w:spacing w:line="560" w:lineRule="exact"/>
        <w:ind w:firstLine="640" w:firstLineChars="200"/>
        <w:rPr>
          <w:rFonts w:ascii="方正仿宋简体" w:eastAsia="方正仿宋简体"/>
          <w:sz w:val="32"/>
          <w:szCs w:val="32"/>
        </w:rPr>
      </w:pPr>
      <w:r>
        <w:rPr>
          <w:rFonts w:hint="eastAsia" w:ascii="方正楷体简体" w:eastAsia="方正楷体简体"/>
          <w:sz w:val="32"/>
          <w:szCs w:val="32"/>
        </w:rPr>
        <w:t>（四）报送时间和方式。</w:t>
      </w:r>
      <w:r>
        <w:rPr>
          <w:rFonts w:hint="eastAsia" w:ascii="方正仿宋简体" w:eastAsia="方正仿宋简体"/>
          <w:sz w:val="32"/>
          <w:szCs w:val="32"/>
        </w:rPr>
        <w:t>申报截止时间为</w:t>
      </w:r>
      <w:r>
        <w:rPr>
          <w:rFonts w:ascii="方正仿宋简体" w:eastAsia="方正仿宋简体"/>
          <w:sz w:val="32"/>
          <w:szCs w:val="32"/>
        </w:rPr>
        <w:t>2021年6月30日。申报采取网上填报与纸质报送相结合的方式。网上通过制造业单项冠军在线报送系统（dgb.cfie.org.cn）统一申报。由企业在线填写并上传相关材料，经组织单位审核后报送（具体填报和审核方式参见报送系统主页说明）。纸质材料要与网上填报一致，一式两份，连同正式上报文件，报工业和信息化部和中国工业经济联合会（相关材料由后者代收）。</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联系方式：工业和信息化部政法司：</w:t>
      </w:r>
      <w:r>
        <w:rPr>
          <w:rFonts w:ascii="方正仿宋简体" w:eastAsia="方正仿宋简体"/>
          <w:sz w:val="32"/>
          <w:szCs w:val="32"/>
        </w:rPr>
        <w:t>010-68205205</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中国工业经济联合会：</w:t>
      </w:r>
      <w:r>
        <w:rPr>
          <w:rFonts w:ascii="方正仿宋简体" w:eastAsia="方正仿宋简体"/>
          <w:sz w:val="32"/>
          <w:szCs w:val="32"/>
        </w:rPr>
        <w:t>010-62062115/62375770</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传真：</w:t>
      </w:r>
      <w:r>
        <w:rPr>
          <w:rFonts w:ascii="方正仿宋简体" w:eastAsia="方正仿宋简体"/>
          <w:sz w:val="32"/>
          <w:szCs w:val="32"/>
        </w:rPr>
        <w:t>010-62375770</w:t>
      </w: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材料寄送地址：北京市海淀区龙翔路甲</w:t>
      </w:r>
      <w:r>
        <w:rPr>
          <w:rFonts w:ascii="方正仿宋简体" w:eastAsia="方正仿宋简体"/>
          <w:sz w:val="32"/>
          <w:szCs w:val="32"/>
        </w:rPr>
        <w:t>7号，中国工业经济联合会309室，100191。</w:t>
      </w:r>
    </w:p>
    <w:p>
      <w:pPr>
        <w:spacing w:line="560" w:lineRule="exact"/>
        <w:ind w:firstLine="640" w:firstLineChars="200"/>
        <w:rPr>
          <w:rFonts w:ascii="方正仿宋简体" w:eastAsia="方正仿宋简体"/>
          <w:sz w:val="32"/>
          <w:szCs w:val="32"/>
        </w:rPr>
      </w:pPr>
    </w:p>
    <w:p>
      <w:pPr>
        <w:spacing w:line="560" w:lineRule="exact"/>
        <w:ind w:firstLine="640" w:firstLineChars="200"/>
        <w:rPr>
          <w:rFonts w:ascii="方正仿宋简体" w:eastAsia="方正仿宋简体"/>
          <w:sz w:val="32"/>
          <w:szCs w:val="32"/>
        </w:rPr>
      </w:pPr>
      <w:r>
        <w:rPr>
          <w:rFonts w:hint="eastAsia" w:ascii="方正仿宋简体" w:eastAsia="方正仿宋简体"/>
          <w:sz w:val="32"/>
          <w:szCs w:val="32"/>
        </w:rPr>
        <w:t>附件：</w:t>
      </w:r>
      <w:r>
        <w:rPr>
          <w:rFonts w:ascii="方正仿宋简体" w:eastAsia="方正仿宋简体"/>
          <w:sz w:val="32"/>
          <w:szCs w:val="32"/>
        </w:rPr>
        <w:t>1.第六批制造业单项冠军申请书</w:t>
      </w:r>
    </w:p>
    <w:p>
      <w:pPr>
        <w:spacing w:line="560" w:lineRule="exact"/>
        <w:ind w:firstLine="1600" w:firstLineChars="500"/>
        <w:rPr>
          <w:rFonts w:ascii="方正仿宋简体" w:eastAsia="方正仿宋简体"/>
          <w:sz w:val="32"/>
          <w:szCs w:val="32"/>
        </w:rPr>
      </w:pPr>
      <w:r>
        <w:rPr>
          <w:rFonts w:ascii="方正仿宋简体" w:eastAsia="方正仿宋简体"/>
          <w:sz w:val="32"/>
          <w:szCs w:val="32"/>
        </w:rPr>
        <w:t>2.第六批制造业单项冠军培育遴选重点领域</w:t>
      </w:r>
    </w:p>
    <w:p>
      <w:pPr>
        <w:spacing w:line="560" w:lineRule="exact"/>
        <w:ind w:firstLine="1600" w:firstLineChars="500"/>
        <w:rPr>
          <w:rFonts w:ascii="方正仿宋简体" w:eastAsia="方正仿宋简体"/>
          <w:sz w:val="32"/>
          <w:szCs w:val="32"/>
        </w:rPr>
      </w:pPr>
      <w:r>
        <w:rPr>
          <w:rFonts w:ascii="方正仿宋简体" w:eastAsia="方正仿宋简体"/>
          <w:sz w:val="32"/>
          <w:szCs w:val="32"/>
        </w:rPr>
        <w:t>3.各地区第六批制造业单项冠军推荐名额</w:t>
      </w:r>
    </w:p>
    <w:p>
      <w:pPr>
        <w:spacing w:line="560" w:lineRule="exact"/>
        <w:ind w:firstLine="1600" w:firstLineChars="500"/>
        <w:rPr>
          <w:rFonts w:ascii="方正仿宋简体" w:eastAsia="方正仿宋简体"/>
          <w:sz w:val="32"/>
          <w:szCs w:val="32"/>
        </w:rPr>
      </w:pPr>
      <w:r>
        <w:rPr>
          <w:rFonts w:ascii="方正仿宋简体" w:eastAsia="方正仿宋简体"/>
          <w:sz w:val="32"/>
          <w:szCs w:val="32"/>
        </w:rPr>
        <w:t>4.第三批制造业单项冠军复核申请书</w:t>
      </w:r>
    </w:p>
    <w:p>
      <w:pPr>
        <w:spacing w:line="560" w:lineRule="exact"/>
        <w:rPr>
          <w:rFonts w:ascii="方正仿宋简体" w:eastAsia="方正仿宋简体"/>
          <w:sz w:val="32"/>
          <w:szCs w:val="32"/>
        </w:rPr>
      </w:pPr>
    </w:p>
    <w:p>
      <w:pPr>
        <w:spacing w:line="560" w:lineRule="exact"/>
        <w:ind w:firstLine="1760" w:firstLineChars="550"/>
        <w:rPr>
          <w:rFonts w:ascii="方正仿宋简体" w:eastAsia="方正仿宋简体"/>
          <w:sz w:val="32"/>
          <w:szCs w:val="32"/>
        </w:rPr>
      </w:pPr>
      <w:r>
        <w:rPr>
          <w:rFonts w:hint="eastAsia" w:ascii="方正仿宋简体" w:eastAsia="方正仿宋简体"/>
          <w:sz w:val="32"/>
          <w:szCs w:val="32"/>
        </w:rPr>
        <w:t>工业和信息化部办公厅</w:t>
      </w:r>
      <w:r>
        <w:rPr>
          <w:rFonts w:ascii="方正仿宋简体" w:eastAsia="方正仿宋简体"/>
          <w:sz w:val="32"/>
          <w:szCs w:val="32"/>
        </w:rPr>
        <w:t xml:space="preserve">  中国工业经济联合会</w:t>
      </w:r>
    </w:p>
    <w:p>
      <w:pPr>
        <w:spacing w:line="560" w:lineRule="exact"/>
        <w:ind w:firstLine="5600" w:firstLineChars="1750"/>
      </w:pPr>
      <w:r>
        <w:rPr>
          <w:rFonts w:ascii="方正仿宋简体" w:eastAsia="方正仿宋简体"/>
          <w:sz w:val="32"/>
          <w:szCs w:val="32"/>
        </w:rPr>
        <w:t>2021年4月26日</w:t>
      </w:r>
    </w:p>
    <w:p>
      <w:pPr>
        <w:spacing w:line="20" w:lineRule="exact"/>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3</w:t>
    </w:r>
    <w:r>
      <w:rPr>
        <w:rStyle w:val="10"/>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8</w:t>
    </w:r>
    <w:r>
      <w:rPr>
        <w:rStyle w:val="10"/>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10"/>
        <w:rFonts w:hint="eastAsia" w:ascii="宋体" w:hAnsi="宋体"/>
        <w:sz w:val="28"/>
        <w:szCs w:val="28"/>
      </w:rPr>
      <w:t xml:space="preserve">— </w:t>
    </w: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ascii="宋体" w:hAnsi="宋体"/>
        <w:sz w:val="28"/>
        <w:szCs w:val="28"/>
      </w:rPr>
      <w:t>7</w:t>
    </w:r>
    <w:r>
      <w:rPr>
        <w:rStyle w:val="10"/>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C0"/>
    <w:rsid w:val="000742CD"/>
    <w:rsid w:val="000A0BF9"/>
    <w:rsid w:val="000A0D70"/>
    <w:rsid w:val="000D688B"/>
    <w:rsid w:val="00112A35"/>
    <w:rsid w:val="00120515"/>
    <w:rsid w:val="00125FA7"/>
    <w:rsid w:val="00161D71"/>
    <w:rsid w:val="0019080D"/>
    <w:rsid w:val="002B08E3"/>
    <w:rsid w:val="0035497B"/>
    <w:rsid w:val="004556F1"/>
    <w:rsid w:val="004A4BD6"/>
    <w:rsid w:val="004E7933"/>
    <w:rsid w:val="005713B1"/>
    <w:rsid w:val="005E1CCA"/>
    <w:rsid w:val="00672267"/>
    <w:rsid w:val="008D762E"/>
    <w:rsid w:val="00930AE3"/>
    <w:rsid w:val="009646F6"/>
    <w:rsid w:val="00A065EC"/>
    <w:rsid w:val="00A46C80"/>
    <w:rsid w:val="00AF322C"/>
    <w:rsid w:val="00CB7B6A"/>
    <w:rsid w:val="00CF7100"/>
    <w:rsid w:val="00D543DF"/>
    <w:rsid w:val="00D63E73"/>
    <w:rsid w:val="00DF0336"/>
    <w:rsid w:val="00E133BA"/>
    <w:rsid w:val="00E70DF7"/>
    <w:rsid w:val="00F54539"/>
    <w:rsid w:val="00F91A13"/>
    <w:rsid w:val="00FE40C0"/>
    <w:rsid w:val="08882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8"/>
    <w:semiHidden/>
    <w:unhideWhenUsed/>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0"/>
    <w:pPr>
      <w:tabs>
        <w:tab w:val="center" w:pos="4153"/>
        <w:tab w:val="right" w:pos="8306"/>
      </w:tabs>
      <w:snapToGrid w:val="0"/>
      <w:jc w:val="left"/>
    </w:pPr>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7"/>
    <w:qFormat/>
    <w:uiPriority w:val="0"/>
    <w:pPr>
      <w:snapToGrid w:val="0"/>
      <w:jc w:val="left"/>
    </w:pPr>
    <w:rPr>
      <w:rFonts w:ascii="Times New Roman" w:hAnsi="Times New Roman" w:eastAsia="宋体" w:cs="Times New Roman"/>
      <w:sz w:val="18"/>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footnote reference"/>
    <w:basedOn w:val="9"/>
    <w:qFormat/>
    <w:uiPriority w:val="0"/>
    <w:rPr>
      <w:rFonts w:ascii="Verdana" w:hAnsi="Verdana" w:eastAsia="宋体" w:cs="Verdana"/>
      <w:kern w:val="0"/>
      <w:sz w:val="20"/>
      <w:szCs w:val="20"/>
      <w:vertAlign w:val="superscript"/>
      <w:lang w:eastAsia="en-US"/>
    </w:rPr>
  </w:style>
  <w:style w:type="paragraph" w:customStyle="1" w:styleId="12">
    <w:name w:val="1"/>
    <w:basedOn w:val="1"/>
    <w:qFormat/>
    <w:uiPriority w:val="0"/>
    <w:rPr>
      <w:rFonts w:ascii="Times New Roman" w:hAnsi="Times New Roman" w:eastAsia="宋体" w:cs="Times New Roman"/>
      <w:szCs w:val="24"/>
    </w:rPr>
  </w:style>
  <w:style w:type="character" w:customStyle="1" w:styleId="13">
    <w:name w:val="页眉 字符"/>
    <w:basedOn w:val="9"/>
    <w:link w:val="5"/>
    <w:qFormat/>
    <w:uiPriority w:val="99"/>
    <w:rPr>
      <w:sz w:val="18"/>
      <w:szCs w:val="18"/>
    </w:rPr>
  </w:style>
  <w:style w:type="character" w:customStyle="1" w:styleId="14">
    <w:name w:val="页脚 字符"/>
    <w:basedOn w:val="9"/>
    <w:link w:val="4"/>
    <w:qFormat/>
    <w:uiPriority w:val="99"/>
    <w:rPr>
      <w:sz w:val="18"/>
      <w:szCs w:val="18"/>
    </w:rPr>
  </w:style>
  <w:style w:type="character" w:customStyle="1" w:styleId="15">
    <w:name w:val="批注框文本 字符"/>
    <w:basedOn w:val="9"/>
    <w:link w:val="3"/>
    <w:semiHidden/>
    <w:uiPriority w:val="99"/>
    <w:rPr>
      <w:sz w:val="18"/>
      <w:szCs w:val="18"/>
    </w:rPr>
  </w:style>
  <w:style w:type="paragraph" w:customStyle="1" w:styleId="16">
    <w:name w:val="Default Paragraph Font Para Char Char Char Char Char Char"/>
    <w:basedOn w:val="1"/>
    <w:qFormat/>
    <w:uiPriority w:val="0"/>
    <w:pPr>
      <w:widowControl/>
      <w:spacing w:after="160" w:line="240" w:lineRule="exact"/>
      <w:jc w:val="left"/>
    </w:pPr>
    <w:rPr>
      <w:rFonts w:ascii="Verdana" w:hAnsi="Verdana" w:eastAsia="宋体" w:cs="Verdana"/>
      <w:kern w:val="0"/>
      <w:sz w:val="20"/>
      <w:szCs w:val="20"/>
      <w:lang w:eastAsia="en-US"/>
    </w:rPr>
  </w:style>
  <w:style w:type="character" w:customStyle="1" w:styleId="17">
    <w:name w:val="脚注文本 字符"/>
    <w:basedOn w:val="9"/>
    <w:link w:val="6"/>
    <w:qFormat/>
    <w:uiPriority w:val="0"/>
    <w:rPr>
      <w:rFonts w:ascii="Times New Roman" w:hAnsi="Times New Roman" w:eastAsia="宋体" w:cs="Times New Roman"/>
      <w:sz w:val="18"/>
      <w:szCs w:val="20"/>
    </w:rPr>
  </w:style>
  <w:style w:type="character" w:customStyle="1" w:styleId="18">
    <w:name w:val="日期 字符"/>
    <w:basedOn w:val="9"/>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1</Pages>
  <Words>493</Words>
  <Characters>2813</Characters>
  <Lines>23</Lines>
  <Paragraphs>6</Paragraphs>
  <TotalTime>94</TotalTime>
  <ScaleCrop>false</ScaleCrop>
  <LinksUpToDate>false</LinksUpToDate>
  <CharactersWithSpaces>3300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2021-05-25T08:12:00Z</dcterms:created>
  <dc:creator>戴其祥</dc:creator>
  <cp:lastModifiedBy>苏世彬</cp:lastModifiedBy>
  <cp:lastPrinted>2021-05-26T08:32:00Z</cp:lastPrinted>
  <dcterms:modified xsi:type="dcterms:W3CDTF">2021-05-26T09:21:33Z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