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中小企业数字化转型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试点城市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试点企业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表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tbl>
      <w:tblPr>
        <w:tblStyle w:val="3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5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08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2"/>
                <w:sz w:val="32"/>
                <w:szCs w:val="32"/>
                <w:lang w:eastAsia="zh-CN"/>
              </w:rPr>
              <w:t>报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单位：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</w:rPr>
              <w:t>签章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联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系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人：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联系电话：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移动电话：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电子邮件：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通讯地址：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邮政编码：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申请日期：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一、项目申报单位信息表</w:t>
      </w:r>
    </w:p>
    <w:tbl>
      <w:tblPr>
        <w:tblStyle w:val="3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9"/>
        <w:gridCol w:w="1825"/>
        <w:gridCol w:w="1775"/>
        <w:gridCol w:w="51"/>
        <w:gridCol w:w="50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所属县（市、区）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主营产品品类名称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企业性质（单选）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pStyle w:val="5"/>
              <w:spacing w:before="16" w:line="220" w:lineRule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国有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民营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外资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混合所有制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企业规模（单选）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中型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中小企业规模类型自测：https://baosong.miit.gov.cn/ScaleTest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规模范围（单选）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规模以上企业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规模以下企业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>优质中小企业情况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pStyle w:val="5"/>
              <w:spacing w:before="16" w:line="22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□无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□创新型中小企业</w:t>
            </w:r>
          </w:p>
          <w:p>
            <w:pPr>
              <w:pStyle w:val="5"/>
              <w:spacing w:before="33" w:line="219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□专精特新中小企业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所属工业园区（详见附件3）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若属于，只需填写主园区名称；如不属于，填“无”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细分行业（单选）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□休闲体育用品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（现代体育产品）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食品加工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□工程机械与纺织专用设备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2024年营业收入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2024年员工数量（缴交社保人数）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2024年利润（万元）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企业基本情况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（300字以内）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（主要业务简介，数字化转型情况，300字以内）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08" w:type="dxa"/>
            <w:gridSpan w:val="7"/>
            <w:shd w:val="clear" w:color="auto" w:fill="F1F1F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数字化改造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数字化水平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等级（单选）</w:t>
            </w:r>
          </w:p>
        </w:tc>
        <w:tc>
          <w:tcPr>
            <w:tcW w:w="7049" w:type="dxa"/>
            <w:gridSpan w:val="6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无等级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一级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二级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三级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四级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（网址：https://www.qzszcs.com/#/questionnaire）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数字化改造项目名称</w:t>
            </w:r>
          </w:p>
        </w:tc>
        <w:tc>
          <w:tcPr>
            <w:tcW w:w="704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2024-xx-xx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结束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2025-xx-xx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服务商名称</w:t>
            </w:r>
          </w:p>
        </w:tc>
        <w:tc>
          <w:tcPr>
            <w:tcW w:w="7049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二、申报单位的营业执照、组织机构代码证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三、数字化改造项目合同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合同需双方法人代表或授权代表签字、加盖落款公章及骑缝章，内容还应包括以下要素：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（1）数字化改造项目起止时间，合同签订日期不早于2024年10月19日；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（2）数字化改造项目阶段性工作计划；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（3）付款方式；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（4）系统售后服务及培训方案；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（5）项目验收标准；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（6）产品或解决方案具体内容，包括软件功能模块、用户数量及描述；硬件数量及功能描述；各模块价格和总金额；相关的专利、著作权信息或授权许可证明等；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（7）数字化服务商让利情况。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数字化服务商清单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（合同与发票需严格对应）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服务商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合同编号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（例：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服务商名称）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合同一编号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五、有关数字化改造项目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合同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首付款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发票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及国家税务总局查验凭证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申报中小企业数字化转型试点城市试点企业首付款的发票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另需在国家税务总局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全国增值税查验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平台https://inv-veri.chinatax.gov.cn/index.html?saasdianping-221128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开展发票信息查验，并提供查验结果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六、有关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数字化改造项目合同首付款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交易凭证（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银行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公章的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回执等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4FA91-53C1-422F-8303-B7AD7ED533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75D0B0-73D4-4095-BA57-62A4E13535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1583CDB-4F34-42A4-AB3C-B5F76C320F9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F3AAFB4-D73F-4FDB-8155-9A8540117E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6B68994-E25C-4C55-8EC7-DE6D799B75B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4A6F98B7-2684-4181-A66F-B5E771FEDE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326515FB"/>
    <w:rsid w:val="326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2025-02-12T07:33:00Z</dcterms:created>
  <dc:creator>ㅤㅤ</dc:creator>
  <cp:lastModifiedBy>ㅤㅤ</cp:lastModifiedBy>
  <dcterms:modified xsi:type="dcterms:W3CDTF">2025-02-12T07:34:01Z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655034F25AA347BD986EC25864B8B172_11</vt:lpwstr>
  </property>
</Properties>
</file>