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3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3" w:firstLineChars="200"/>
        <w:jc w:val="center"/>
        <w:textAlignment w:val="auto"/>
        <w:rPr>
          <w:rFonts w:ascii="仿宋" w:hAnsi="仿宋" w:eastAsia="仿宋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6"/>
          <w:szCs w:val="36"/>
          <w:lang w:eastAsia="zh-CN"/>
        </w:rPr>
        <w:t>泉州市市级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产业龙头</w:t>
      </w:r>
      <w:r>
        <w:rPr>
          <w:rFonts w:hint="eastAsia" w:ascii="仿宋" w:hAnsi="仿宋" w:eastAsia="仿宋"/>
          <w:b/>
          <w:color w:val="000000"/>
          <w:sz w:val="36"/>
          <w:szCs w:val="36"/>
          <w:lang w:eastAsia="zh-CN"/>
        </w:rPr>
        <w:t>企业</w:t>
      </w:r>
      <w:r>
        <w:rPr>
          <w:rFonts w:hint="eastAsia" w:ascii="仿宋" w:hAnsi="仿宋" w:eastAsia="仿宋"/>
          <w:b/>
          <w:color w:val="000000"/>
          <w:sz w:val="36"/>
          <w:szCs w:val="36"/>
          <w:shd w:val="clear" w:color="auto" w:fill="FFFFFF"/>
        </w:rPr>
        <w:t>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市级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产业</w:t>
      </w:r>
      <w:r>
        <w:rPr>
          <w:rFonts w:hint="eastAsia" w:ascii="仿宋" w:hAnsi="仿宋" w:eastAsia="仿宋"/>
          <w:color w:val="000000"/>
          <w:sz w:val="32"/>
          <w:szCs w:val="32"/>
        </w:rPr>
        <w:t>龙头企业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遴选原则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主要以企业上年度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营业收入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为主，且发展前景较好、具有较强品牌效应及推动产业上下游协作配套的带头作用，同时统筹考虑行业内企业数量、细分领域均衡分布。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市级产业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龙头企业实施动态管理，各产业龙头企业遴选条件如下：</w:t>
      </w:r>
    </w:p>
    <w:tbl>
      <w:tblPr>
        <w:tblStyle w:val="5"/>
        <w:tblW w:w="8976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046"/>
        <w:gridCol w:w="6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_GB2312" w:hAnsi="仿宋" w:eastAsia="楷体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仿宋" w:eastAsia="楷体_GB2312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_GB2312" w:hAnsi="仿宋" w:eastAsia="楷体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仿宋" w:eastAsia="楷体_GB2312"/>
                <w:color w:val="000000"/>
                <w:sz w:val="32"/>
                <w:szCs w:val="32"/>
                <w:shd w:val="clear" w:color="auto" w:fill="FFFFFF"/>
              </w:rPr>
              <w:t>行业领域</w:t>
            </w:r>
          </w:p>
        </w:tc>
        <w:tc>
          <w:tcPr>
            <w:tcW w:w="60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hAnsi="仿宋" w:eastAsia="楷体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仿宋" w:eastAsia="楷体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营业收入</w:t>
            </w:r>
            <w:r>
              <w:rPr>
                <w:rFonts w:hint="eastAsia" w:ascii="楷体_GB2312" w:hAnsi="仿宋" w:eastAsia="楷体_GB2312"/>
                <w:color w:val="000000"/>
                <w:sz w:val="32"/>
                <w:szCs w:val="32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纺织鞋服</w:t>
            </w:r>
          </w:p>
        </w:tc>
        <w:tc>
          <w:tcPr>
            <w:tcW w:w="601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u w:val="none"/>
                <w:shd w:val="clear" w:color="auto" w:fill="FFFFFF"/>
              </w:rPr>
              <w:t>原则上鞋服企业年</w:t>
            </w:r>
            <w:r>
              <w:rPr>
                <w:rFonts w:hint="eastAsia" w:ascii="仿宋" w:hAnsi="仿宋" w:eastAsia="仿宋"/>
                <w:color w:val="auto"/>
                <w:sz w:val="24"/>
                <w:u w:val="none"/>
                <w:shd w:val="clear" w:color="auto" w:fill="FFFFFF"/>
                <w:lang w:eastAsia="zh-CN"/>
              </w:rPr>
              <w:t>营业收</w:t>
            </w:r>
            <w:r>
              <w:rPr>
                <w:rFonts w:hint="eastAsia" w:ascii="仿宋" w:hAnsi="仿宋" w:eastAsia="仿宋"/>
                <w:color w:val="auto"/>
                <w:sz w:val="24"/>
                <w:u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  <w:u w:val="none"/>
                <w:shd w:val="clear" w:color="auto" w:fill="FFFFFF"/>
              </w:rPr>
              <w:t>亿元以上、纺织企业</w:t>
            </w:r>
            <w:r>
              <w:rPr>
                <w:rFonts w:hint="eastAsia" w:ascii="仿宋" w:hAnsi="仿宋" w:eastAsia="仿宋"/>
                <w:color w:val="auto"/>
                <w:sz w:val="24"/>
                <w:u w:val="none"/>
                <w:shd w:val="clear" w:color="auto" w:fill="FFFFFF"/>
                <w:lang w:eastAsia="zh-CN"/>
              </w:rPr>
              <w:t>营业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收入</w:t>
            </w:r>
            <w:r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亿元以上。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石油化工</w:t>
            </w:r>
          </w:p>
        </w:tc>
        <w:tc>
          <w:tcPr>
            <w:tcW w:w="601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原则上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营业收入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为5亿元以上。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机械装备</w:t>
            </w:r>
          </w:p>
        </w:tc>
        <w:tc>
          <w:tcPr>
            <w:tcW w:w="601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原则上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营业收入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为2亿元以上。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建材家居</w:t>
            </w:r>
          </w:p>
        </w:tc>
        <w:tc>
          <w:tcPr>
            <w:tcW w:w="601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原则上建筑陶瓷企业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营业收入</w:t>
            </w:r>
            <w:r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亿元以上、水暖厨卫企业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营业收入</w:t>
            </w:r>
            <w:r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亿元以上、石材企业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营业收入</w:t>
            </w:r>
            <w:r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亿元以上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u w:val="none"/>
                <w:shd w:val="clear" w:color="auto" w:fill="FFFFFF"/>
                <w:lang w:eastAsia="zh-CN"/>
              </w:rPr>
              <w:t>冶金企业营业收入</w:t>
            </w:r>
            <w:r>
              <w:rPr>
                <w:rFonts w:hint="eastAsia" w:ascii="仿宋" w:hAnsi="仿宋" w:eastAsia="仿宋"/>
                <w:color w:val="auto"/>
                <w:sz w:val="24"/>
                <w:u w:val="none"/>
                <w:shd w:val="clear" w:color="auto" w:fill="FFFFFF"/>
                <w:lang w:val="en-US" w:eastAsia="zh-CN"/>
              </w:rPr>
              <w:t>4亿元、水泥熟料4亿元以上;工艺制品营业收入1亿元以上；纸业包装营业收入4亿元以上；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健康食品</w:t>
            </w:r>
          </w:p>
        </w:tc>
        <w:tc>
          <w:tcPr>
            <w:tcW w:w="601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原则上休闲食品、啤酒饮料、茶叶、粮油加工企业等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营业收入</w:t>
            </w:r>
            <w:r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亿元以上。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电子信息</w:t>
            </w:r>
          </w:p>
        </w:tc>
        <w:tc>
          <w:tcPr>
            <w:tcW w:w="6013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原则上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营业收入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1亿元以上。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其他</w:t>
            </w:r>
          </w:p>
        </w:tc>
        <w:tc>
          <w:tcPr>
            <w:tcW w:w="6013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" w:hAnsi="仿宋" w:eastAsia="仿宋"/>
                <w:color w:val="C00000"/>
                <w:sz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原则上箱包企业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营业收入</w:t>
            </w:r>
            <w:r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亿元以上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、采矿业营业收入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val="en-US" w:eastAsia="zh-CN"/>
              </w:rPr>
              <w:t>1亿元以上、电力热水燃气及水生产和供应类营业收入2亿元以上、现代物流业营业收入2亿元以上。其他细分企业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营业收入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val="en-US" w:eastAsia="zh-CN"/>
              </w:rPr>
              <w:t>1亿元以上。</w:t>
            </w:r>
          </w:p>
        </w:tc>
      </w:tr>
    </w:tbl>
    <w:p>
      <w:pPr>
        <w:pStyle w:val="3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03A96FD4"/>
    <w:rsid w:val="03A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24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2024-08-07T08:58:00Z</dcterms:created>
  <dc:creator>ㅤㅤ</dc:creator>
  <cp:lastModifiedBy>ㅤㅤ</cp:lastModifiedBy>
  <dcterms:modified xsi:type="dcterms:W3CDTF">2024-08-07T08:59:04Z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5AF329B1C37D49B29284B7837E14AE14_11</vt:lpwstr>
  </property>
</Properties>
</file>