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2D7B5">
      <w:pPr>
        <w:spacing w:line="560" w:lineRule="exact"/>
        <w:rPr>
          <w:rFonts w:hint="eastAsia" w:ascii="Times New Roman" w:hAnsi="Times New Roman" w:eastAsia="黑体" w:cs="黑体"/>
          <w:sz w:val="32"/>
          <w:szCs w:val="32"/>
          <w:highlight w:val="none"/>
          <w:lang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w:t>
      </w:r>
    </w:p>
    <w:p w14:paraId="7EBE7F36">
      <w:pPr>
        <w:keepNext w:val="0"/>
        <w:keepLines w:val="0"/>
        <w:pageBreakBefore w:val="0"/>
        <w:widowControl w:val="0"/>
        <w:kinsoku/>
        <w:wordWrap/>
        <w:overflowPunct/>
        <w:topLinePunct w:val="0"/>
        <w:autoSpaceDE/>
        <w:autoSpaceDN/>
        <w:bidi w:val="0"/>
        <w:adjustRightInd/>
        <w:snapToGrid/>
        <w:spacing w:before="625" w:beforeLines="200" w:after="625" w:afterLines="200"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两化融合典型案例申报要求</w:t>
      </w:r>
    </w:p>
    <w:p w14:paraId="569BDAEC">
      <w:pPr>
        <w:spacing w:line="560" w:lineRule="exact"/>
        <w:ind w:firstLine="640" w:firstLineChars="20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color w:val="000000"/>
          <w:sz w:val="32"/>
          <w:szCs w:val="32"/>
          <w:highlight w:val="none"/>
        </w:rPr>
        <w:t>为深入贯彻落实习近平总书记关于信息化和工业化深度融合的重要指示精神，以融合促创新、以融合促发展，不断塑造发展新动能新优势，现组织开展2025年两化融合典型案例征集工作。</w:t>
      </w:r>
    </w:p>
    <w:p w14:paraId="3C7062AF">
      <w:pPr>
        <w:pStyle w:val="4"/>
        <w:widowControl/>
        <w:kinsoku w:val="0"/>
        <w:autoSpaceDE w:val="0"/>
        <w:autoSpaceDN w:val="0"/>
        <w:adjustRightInd w:val="0"/>
        <w:snapToGrid w:val="0"/>
        <w:spacing w:line="560" w:lineRule="exact"/>
        <w:ind w:firstLine="640" w:firstLineChars="200"/>
        <w:textAlignment w:val="baseline"/>
        <w:rPr>
          <w:rFonts w:hint="eastAsia" w:ascii="Times New Roman" w:hAnsi="Times New Roman" w:eastAsia="黑体" w:cs="黑体"/>
          <w:color w:val="000000"/>
          <w:sz w:val="32"/>
          <w:szCs w:val="32"/>
          <w:highlight w:val="none"/>
          <w:lang w:eastAsia="zh-CN"/>
        </w:rPr>
      </w:pPr>
      <w:r>
        <w:rPr>
          <w:rFonts w:hint="eastAsia" w:ascii="Times New Roman" w:hAnsi="Times New Roman" w:eastAsia="黑体" w:cs="黑体"/>
          <w:color w:val="000000"/>
          <w:sz w:val="32"/>
          <w:szCs w:val="32"/>
          <w:highlight w:val="none"/>
          <w:lang w:eastAsia="zh-CN"/>
        </w:rPr>
        <w:t>一、征集内容</w:t>
      </w:r>
    </w:p>
    <w:p w14:paraId="66AD65B0">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以两化融合发展为主题，围绕数字领航企业、数字化供应链、工业互联网平台创新应用、通用数字化工具产品、重点行业数字化场景等方向，遴选一批融合水平高、创新能力突出、实施效果显著、带动作用强的典型案例，为加快发展新质生产力、推进新型工业化提供有力支撑。</w:t>
      </w:r>
    </w:p>
    <w:p w14:paraId="53B95EE7">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黑体" w:cs="黑体"/>
          <w:color w:val="000000"/>
          <w:sz w:val="32"/>
          <w:szCs w:val="32"/>
          <w:highlight w:val="none"/>
          <w:lang w:eastAsia="zh-CN"/>
        </w:rPr>
        <w:t>（</w:t>
      </w:r>
      <w:r>
        <w:rPr>
          <w:rFonts w:hint="eastAsia" w:ascii="Times New Roman" w:hAnsi="Times New Roman" w:eastAsia="黑体" w:cs="黑体"/>
          <w:color w:val="000000"/>
          <w:sz w:val="32"/>
          <w:szCs w:val="32"/>
          <w:highlight w:val="none"/>
          <w:lang w:val="en-US" w:eastAsia="zh-CN"/>
        </w:rPr>
        <w:t>一</w:t>
      </w:r>
      <w:r>
        <w:rPr>
          <w:rFonts w:hint="eastAsia" w:ascii="Times New Roman" w:hAnsi="Times New Roman" w:eastAsia="黑体" w:cs="黑体"/>
          <w:color w:val="000000"/>
          <w:sz w:val="32"/>
          <w:szCs w:val="32"/>
          <w:highlight w:val="none"/>
          <w:lang w:eastAsia="zh-CN"/>
        </w:rPr>
        <w:t>）数字领航企业。</w:t>
      </w:r>
      <w:r>
        <w:rPr>
          <w:rFonts w:hint="eastAsia" w:ascii="Times New Roman" w:hAnsi="Times New Roman" w:eastAsia="仿宋_GB2312" w:cs="仿宋_GB2312"/>
          <w:color w:val="000000"/>
          <w:sz w:val="32"/>
          <w:szCs w:val="32"/>
          <w:highlight w:val="none"/>
        </w:rPr>
        <w:t>面向制造业优质企业，结合当前大模型、数字孪生、人形机器人等前沿技术发展趋势，在大企业、中小企业两个维度，遴选一批在AI融合创新、智能决策优化、数字生态构建等方面表现突出的数字领航企业典型案例。通过打造“技术引领+场景驱动”双轮示范模式，提供可复制的智能化转型方法论和行业解决方案，加速制造业整体数字化跃迁。</w:t>
      </w:r>
    </w:p>
    <w:p w14:paraId="1E46B7B7">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黑体" w:cs="黑体"/>
          <w:color w:val="000000"/>
          <w:sz w:val="32"/>
          <w:szCs w:val="32"/>
          <w:highlight w:val="none"/>
          <w:lang w:eastAsia="zh-CN"/>
        </w:rPr>
        <w:t>（二）数字化供应链。</w:t>
      </w:r>
      <w:r>
        <w:rPr>
          <w:rFonts w:hint="eastAsia" w:ascii="Times New Roman" w:hAnsi="Times New Roman" w:eastAsia="仿宋_GB2312" w:cs="仿宋_GB2312"/>
          <w:color w:val="000000"/>
          <w:sz w:val="32"/>
          <w:szCs w:val="32"/>
          <w:highlight w:val="none"/>
        </w:rPr>
        <w:t>面向培育数字化生态的供应链上下游，聚焦数字化供应链生态上下游业务协同水平不高、全链条数据贯通难度大、系统解决方案供给不足等问题，在数字化供应链场景突破、数字化供应链服务创新、数字化供应链融通转型等方向，遴选一批数字化供应链典型案例。通过提炼总结数字化供应链建设的优秀经验，为企业开展数字化供应链建设提供指引和参考。</w:t>
      </w:r>
    </w:p>
    <w:p w14:paraId="50254863">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黑体" w:cs="黑体"/>
          <w:color w:val="000000"/>
          <w:sz w:val="32"/>
          <w:szCs w:val="32"/>
          <w:highlight w:val="none"/>
          <w:lang w:eastAsia="zh-CN"/>
        </w:rPr>
        <w:t>（三）工业互联网平台创新应用。</w:t>
      </w:r>
      <w:r>
        <w:rPr>
          <w:rFonts w:hint="eastAsia" w:ascii="Times New Roman" w:hAnsi="Times New Roman" w:eastAsia="仿宋_GB2312" w:cs="仿宋_GB2312"/>
          <w:color w:val="000000"/>
          <w:sz w:val="32"/>
          <w:szCs w:val="32"/>
          <w:highlight w:val="none"/>
        </w:rPr>
        <w:t>围绕创新链、产业链、资金链、人才链等方向，征集一批工业互联网平台创新应用典型案例，促进创新资源优化配置、要素资源流通利用、价值链各环节高效协同发展，加快推动新一代信息技术在全链条的普及应用。</w:t>
      </w:r>
    </w:p>
    <w:p w14:paraId="2BC99D06">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黑体" w:cs="黑体"/>
          <w:color w:val="000000"/>
          <w:sz w:val="32"/>
          <w:szCs w:val="32"/>
          <w:highlight w:val="none"/>
          <w:lang w:eastAsia="zh-CN"/>
        </w:rPr>
        <w:t>（四）通用数字化工具产品。</w:t>
      </w:r>
      <w:r>
        <w:rPr>
          <w:rFonts w:hint="eastAsia" w:ascii="Times New Roman" w:hAnsi="Times New Roman" w:eastAsia="仿宋_GB2312" w:cs="仿宋_GB2312"/>
          <w:color w:val="000000"/>
          <w:sz w:val="32"/>
          <w:szCs w:val="32"/>
          <w:highlight w:val="none"/>
        </w:rPr>
        <w:t>聚焦数字化转型过程中数字化工具产品标准化程度较低、使用成本偏高、二次开发难度较大等问题，在数字化感知和检测工具、数字化专用装置、数字化“中间件”、数字化边缘节点、SaaS化企业管理软件、工业智能体、工厂“数字大脑”等方面，遴选一批普适化、标准化、智能化通用工具产品应用典型案例。通过构建低成本、轻配置、普适性的通用数字化工具产品矩阵，引导企业加快数字化转型。</w:t>
      </w:r>
    </w:p>
    <w:p w14:paraId="2DCADE92">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黑体" w:cs="黑体"/>
          <w:color w:val="000000"/>
          <w:sz w:val="32"/>
          <w:szCs w:val="32"/>
          <w:highlight w:val="none"/>
          <w:lang w:eastAsia="zh-CN"/>
        </w:rPr>
        <w:t>（五）重点行业数字化场景。</w:t>
      </w:r>
      <w:r>
        <w:rPr>
          <w:rFonts w:hint="eastAsia" w:ascii="Times New Roman" w:hAnsi="Times New Roman" w:eastAsia="仿宋_GB2312" w:cs="仿宋_GB2312"/>
          <w:color w:val="000000"/>
          <w:sz w:val="32"/>
          <w:szCs w:val="32"/>
          <w:highlight w:val="none"/>
        </w:rPr>
        <w:t>面向钢铁、石化、工程机械、新能源汽车、机器人、医疗装备、家电、制糖、白酒、美妆日化、锂电池、印制板（PCB）、智能移动终端、民爆等14个重点行业，聚焦行业面临的关键问题和共性痛点，以场景为切入点，围绕行业场景图谱和要素清单（包括工具软件、知识模型、数据要素、人才技能等数字化要素清单），遴选一批可复制、可推广的重点场景典型案例，为企业明确重点、理清路径提供指南与借鉴。</w:t>
      </w:r>
    </w:p>
    <w:p w14:paraId="196ECBE5">
      <w:pPr>
        <w:pStyle w:val="4"/>
        <w:widowControl/>
        <w:kinsoku w:val="0"/>
        <w:autoSpaceDE w:val="0"/>
        <w:autoSpaceDN w:val="0"/>
        <w:adjustRightInd w:val="0"/>
        <w:snapToGrid w:val="0"/>
        <w:spacing w:line="560" w:lineRule="exact"/>
        <w:ind w:firstLine="640" w:firstLineChars="200"/>
        <w:textAlignment w:val="baseline"/>
        <w:rPr>
          <w:rFonts w:hint="eastAsia" w:ascii="Times New Roman" w:hAnsi="Times New Roman" w:eastAsia="黑体" w:cs="黑体"/>
          <w:color w:val="000000"/>
          <w:sz w:val="32"/>
          <w:szCs w:val="32"/>
          <w:highlight w:val="none"/>
          <w:lang w:eastAsia="zh-CN"/>
        </w:rPr>
      </w:pPr>
      <w:r>
        <w:rPr>
          <w:rFonts w:hint="eastAsia" w:ascii="Times New Roman" w:hAnsi="Times New Roman" w:eastAsia="黑体" w:cs="黑体"/>
          <w:color w:val="000000"/>
          <w:sz w:val="32"/>
          <w:szCs w:val="32"/>
          <w:highlight w:val="none"/>
          <w:lang w:eastAsia="zh-CN"/>
        </w:rPr>
        <w:t>二、申报条件</w:t>
      </w:r>
    </w:p>
    <w:p w14:paraId="06EA1D4D">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一）申报主体应在中华人民共和国境内注册，具备独立法人资格、较好的经济实力、较强的技术研发和融合创新能力，包括制造业企业和数字化供应商企业。原则上每个申报主体在每个方向只能申报1个典型案例。</w:t>
      </w:r>
    </w:p>
    <w:p w14:paraId="624EC84D">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（二）申报主体近三年财务状况良好、无重大违法违规行为、未发生较大及以上生产安全事故和环境污染事故。</w:t>
      </w:r>
    </w:p>
    <w:p w14:paraId="3E5E816A">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（三）申报主体具备支撑两化融合的技术能力和产业影响力，在企业转型、供应链生态、平台应用、产品推广、产业升级等方面有可量化的经济效益或社会效益。</w:t>
      </w:r>
    </w:p>
    <w:p w14:paraId="66B74A49">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（四）案例须主题明确、重点突出、逻辑清晰、材料真实，具有较强的借鉴意义。</w:t>
      </w:r>
    </w:p>
    <w:p w14:paraId="77737ADD">
      <w:pPr>
        <w:pStyle w:val="4"/>
        <w:widowControl/>
        <w:kinsoku w:val="0"/>
        <w:autoSpaceDE w:val="0"/>
        <w:autoSpaceDN w:val="0"/>
        <w:adjustRightInd w:val="0"/>
        <w:snapToGrid w:val="0"/>
        <w:spacing w:line="560" w:lineRule="exact"/>
        <w:ind w:firstLine="640" w:firstLineChars="200"/>
        <w:textAlignment w:val="baseline"/>
        <w:rPr>
          <w:rFonts w:hint="eastAsia" w:ascii="Times New Roman" w:hAnsi="Times New Roman" w:eastAsia="黑体" w:cs="黑体"/>
          <w:color w:val="000000"/>
          <w:sz w:val="32"/>
          <w:szCs w:val="32"/>
          <w:highlight w:val="none"/>
          <w:lang w:eastAsia="zh-CN"/>
        </w:rPr>
      </w:pPr>
      <w:r>
        <w:rPr>
          <w:rFonts w:hint="eastAsia" w:ascii="Times New Roman" w:hAnsi="Times New Roman" w:eastAsia="黑体" w:cs="黑体"/>
          <w:color w:val="000000"/>
          <w:sz w:val="32"/>
          <w:szCs w:val="32"/>
          <w:highlight w:val="none"/>
          <w:lang w:eastAsia="zh-CN"/>
        </w:rPr>
        <w:t>三、征集程序</w:t>
      </w:r>
    </w:p>
    <w:p w14:paraId="03D255D8">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黑体" w:cs="黑体"/>
          <w:color w:val="000000"/>
          <w:sz w:val="32"/>
          <w:szCs w:val="32"/>
          <w:highlight w:val="none"/>
          <w:lang w:eastAsia="zh-CN"/>
        </w:rPr>
        <w:t>（</w:t>
      </w:r>
      <w:r>
        <w:rPr>
          <w:rFonts w:hint="eastAsia" w:ascii="Times New Roman" w:hAnsi="Times New Roman" w:eastAsia="黑体" w:cs="黑体"/>
          <w:color w:val="000000"/>
          <w:sz w:val="32"/>
          <w:szCs w:val="32"/>
          <w:highlight w:val="none"/>
          <w:lang w:val="en-US" w:eastAsia="zh-CN"/>
        </w:rPr>
        <w:t>一</w:t>
      </w:r>
      <w:r>
        <w:rPr>
          <w:rFonts w:hint="eastAsia" w:ascii="Times New Roman" w:hAnsi="Times New Roman" w:eastAsia="黑体" w:cs="黑体"/>
          <w:color w:val="000000"/>
          <w:sz w:val="32"/>
          <w:szCs w:val="32"/>
          <w:highlight w:val="none"/>
          <w:lang w:eastAsia="zh-CN"/>
        </w:rPr>
        <w:t>）材料申报。</w:t>
      </w:r>
      <w:r>
        <w:rPr>
          <w:rFonts w:hint="eastAsia" w:ascii="Times New Roman" w:hAnsi="Times New Roman" w:eastAsia="仿宋_GB2312" w:cs="仿宋_GB2312"/>
          <w:color w:val="000000"/>
          <w:sz w:val="32"/>
          <w:szCs w:val="32"/>
          <w:highlight w:val="none"/>
        </w:rPr>
        <w:t>申报主体根据《2025年两化融合典型案例要素条件》选择申报方向，填写《2025年两化融合典型案例申报书》（要素条件和案例申报书可通过申报平台下载：https://wenjuan.cii-contest.cn/index/login/index.html），进行线上申报。</w:t>
      </w:r>
      <w:r>
        <w:rPr>
          <w:rFonts w:hint="eastAsia" w:ascii="Times New Roman" w:hAnsi="Times New Roman" w:eastAsia="仿宋_GB2312" w:cs="仿宋_GB2312"/>
          <w:color w:val="000000"/>
          <w:sz w:val="32"/>
          <w:szCs w:val="32"/>
          <w:highlight w:val="none"/>
          <w:lang w:val="en-US" w:eastAsia="zh-CN"/>
        </w:rPr>
        <w:t>完成线上申报后</w:t>
      </w:r>
      <w:r>
        <w:rPr>
          <w:rFonts w:hint="eastAsia" w:ascii="Times New Roman" w:hAnsi="Times New Roman" w:eastAsia="仿宋_GB2312" w:cs="仿宋_GB2312"/>
          <w:color w:val="000000"/>
          <w:sz w:val="32"/>
          <w:szCs w:val="32"/>
          <w:highlight w:val="none"/>
        </w:rPr>
        <w:t>导出申报书</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将</w:t>
      </w:r>
      <w:r>
        <w:rPr>
          <w:rFonts w:hint="eastAsia" w:ascii="Times New Roman" w:hAnsi="Times New Roman" w:eastAsia="仿宋_GB2312" w:cs="仿宋_GB2312"/>
          <w:color w:val="000000"/>
          <w:sz w:val="32"/>
          <w:szCs w:val="32"/>
          <w:highlight w:val="none"/>
          <w:lang w:eastAsia="zh-CN"/>
        </w:rPr>
        <w:t>纸质</w:t>
      </w:r>
      <w:r>
        <w:rPr>
          <w:rFonts w:hint="eastAsia" w:ascii="Times New Roman" w:hAnsi="Times New Roman" w:eastAsia="仿宋_GB2312" w:cs="仿宋_GB2312"/>
          <w:color w:val="000000"/>
          <w:sz w:val="32"/>
          <w:szCs w:val="32"/>
          <w:highlight w:val="none"/>
        </w:rPr>
        <w:t>版</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加盖公章</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及</w:t>
      </w:r>
      <w:r>
        <w:rPr>
          <w:rFonts w:hint="eastAsia" w:ascii="Times New Roman" w:hAnsi="Times New Roman" w:eastAsia="仿宋_GB2312" w:cs="仿宋_GB2312"/>
          <w:color w:val="000000"/>
          <w:sz w:val="32"/>
          <w:szCs w:val="32"/>
          <w:highlight w:val="none"/>
          <w:lang w:eastAsia="zh-CN"/>
        </w:rPr>
        <w:t>电子版（PDF扫描件）</w:t>
      </w:r>
      <w:r>
        <w:rPr>
          <w:rFonts w:hint="eastAsia" w:ascii="Times New Roman" w:hAnsi="Times New Roman" w:eastAsia="仿宋_GB2312" w:cs="仿宋_GB2312"/>
          <w:color w:val="000000"/>
          <w:sz w:val="32"/>
          <w:szCs w:val="32"/>
          <w:highlight w:val="none"/>
        </w:rPr>
        <w:t>报送至所在县（市、区）工信部门。</w:t>
      </w:r>
    </w:p>
    <w:p w14:paraId="038BC2BB">
      <w:pPr>
        <w:spacing w:line="560" w:lineRule="exact"/>
        <w:ind w:firstLine="640" w:firstLineChars="200"/>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黑体" w:cs="黑体"/>
          <w:color w:val="000000"/>
          <w:sz w:val="32"/>
          <w:szCs w:val="32"/>
          <w:highlight w:val="none"/>
          <w:lang w:eastAsia="zh-CN"/>
        </w:rPr>
        <w:t>（二）案例推荐。</w:t>
      </w:r>
      <w:r>
        <w:rPr>
          <w:rFonts w:hint="eastAsia" w:ascii="Times New Roman" w:hAnsi="Times New Roman" w:eastAsia="仿宋_GB2312" w:cs="仿宋_GB2312"/>
          <w:color w:val="000000"/>
          <w:sz w:val="32"/>
          <w:szCs w:val="32"/>
          <w:highlight w:val="none"/>
        </w:rPr>
        <w:t>各县（市、区）工信部门负责</w:t>
      </w:r>
      <w:r>
        <w:rPr>
          <w:rFonts w:hint="eastAsia" w:ascii="Times New Roman" w:hAnsi="Times New Roman" w:eastAsia="仿宋_GB2312" w:cs="仿宋_GB2312"/>
          <w:color w:val="000000"/>
          <w:sz w:val="32"/>
          <w:szCs w:val="32"/>
          <w:highlight w:val="none"/>
          <w:lang w:val="en-US" w:eastAsia="zh-CN"/>
        </w:rPr>
        <w:t>汇总</w:t>
      </w:r>
      <w:r>
        <w:rPr>
          <w:rFonts w:hint="eastAsia" w:ascii="Times New Roman" w:hAnsi="Times New Roman" w:eastAsia="仿宋_GB2312" w:cs="仿宋_GB2312"/>
          <w:color w:val="000000"/>
          <w:sz w:val="32"/>
          <w:szCs w:val="32"/>
          <w:highlight w:val="none"/>
        </w:rPr>
        <w:t>辖区</w:t>
      </w:r>
      <w:r>
        <w:rPr>
          <w:rFonts w:hint="eastAsia" w:ascii="Times New Roman" w:hAnsi="Times New Roman" w:eastAsia="仿宋_GB2312" w:cs="仿宋_GB2312"/>
          <w:color w:val="000000"/>
          <w:sz w:val="32"/>
          <w:szCs w:val="32"/>
          <w:highlight w:val="none"/>
          <w:lang w:val="en-US" w:eastAsia="zh-CN"/>
        </w:rPr>
        <w:t>内典型</w:t>
      </w:r>
      <w:r>
        <w:rPr>
          <w:rFonts w:hint="eastAsia" w:ascii="Times New Roman" w:hAnsi="Times New Roman" w:eastAsia="仿宋_GB2312" w:cs="仿宋_GB2312"/>
          <w:color w:val="000000"/>
          <w:spacing w:val="0"/>
          <w:sz w:val="32"/>
          <w:szCs w:val="32"/>
          <w:highlight w:val="none"/>
          <w:lang w:val="en-US" w:eastAsia="zh-CN"/>
        </w:rPr>
        <w:t>案例申报情况</w:t>
      </w:r>
      <w:r>
        <w:rPr>
          <w:rFonts w:hint="eastAsia" w:ascii="Times New Roman" w:hAnsi="Times New Roman" w:eastAsia="仿宋_GB2312" w:cs="仿宋_GB2312"/>
          <w:color w:val="000000"/>
          <w:sz w:val="32"/>
          <w:szCs w:val="32"/>
          <w:highlight w:val="none"/>
        </w:rPr>
        <w:t>，于2025年12月</w:t>
      </w:r>
      <w:r>
        <w:rPr>
          <w:rFonts w:hint="eastAsia" w:ascii="Times New Roman" w:hAnsi="Times New Roman" w:eastAsia="仿宋_GB2312" w:cs="仿宋_GB2312"/>
          <w:color w:val="000000"/>
          <w:sz w:val="32"/>
          <w:szCs w:val="32"/>
          <w:highlight w:val="none"/>
          <w:lang w:val="en-US" w:eastAsia="zh-CN"/>
        </w:rPr>
        <w:t>4</w:t>
      </w:r>
      <w:r>
        <w:rPr>
          <w:rFonts w:hint="eastAsia" w:ascii="Times New Roman" w:hAnsi="Times New Roman" w:eastAsia="仿宋_GB2312" w:cs="仿宋_GB2312"/>
          <w:color w:val="000000"/>
          <w:sz w:val="32"/>
          <w:szCs w:val="32"/>
          <w:highlight w:val="none"/>
        </w:rPr>
        <w:t>日前将工作联系人反馈表（可通过申报平台下载）</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案例申报材料（</w:t>
      </w:r>
      <w:r>
        <w:rPr>
          <w:rFonts w:hint="eastAsia" w:ascii="Times New Roman" w:hAnsi="Times New Roman" w:eastAsia="仿宋_GB2312" w:cs="仿宋_GB2312"/>
          <w:color w:val="000000"/>
          <w:sz w:val="32"/>
          <w:szCs w:val="32"/>
          <w:highlight w:val="none"/>
          <w:lang w:eastAsia="zh-CN"/>
        </w:rPr>
        <w:t>一式四份</w:t>
      </w:r>
      <w:r>
        <w:rPr>
          <w:rFonts w:hint="eastAsia" w:ascii="Times New Roman" w:hAnsi="Times New Roman" w:eastAsia="仿宋_GB2312" w:cs="仿宋_GB2312"/>
          <w:color w:val="000000"/>
          <w:sz w:val="32"/>
          <w:szCs w:val="32"/>
          <w:highlight w:val="none"/>
        </w:rPr>
        <w:t>）</w:t>
      </w:r>
      <w:r>
        <w:rPr>
          <w:rFonts w:hint="eastAsia" w:ascii="Times New Roman" w:hAnsi="Times New Roman" w:eastAsia="仿宋_GB2312" w:cs="仿宋_GB2312"/>
          <w:color w:val="000000"/>
          <w:sz w:val="32"/>
          <w:szCs w:val="32"/>
          <w:highlight w:val="none"/>
          <w:lang w:val="en-US" w:eastAsia="zh-CN"/>
        </w:rPr>
        <w:t>及</w:t>
      </w:r>
      <w:r>
        <w:rPr>
          <w:rFonts w:hint="eastAsia" w:ascii="Times New Roman" w:hAnsi="Times New Roman" w:eastAsia="仿宋_GB2312" w:cs="仿宋_GB2312"/>
          <w:color w:val="000000"/>
          <w:sz w:val="32"/>
          <w:szCs w:val="32"/>
          <w:highlight w:val="none"/>
        </w:rPr>
        <w:t>案例汇总表</w:t>
      </w:r>
      <w:r>
        <w:rPr>
          <w:rFonts w:hint="eastAsia" w:ascii="Times New Roman" w:hAnsi="Times New Roman" w:eastAsia="仿宋_GB2312" w:cs="仿宋_GB2312"/>
          <w:color w:val="000000"/>
          <w:sz w:val="32"/>
          <w:szCs w:val="32"/>
          <w:highlight w:val="none"/>
          <w:lang w:val="en-US" w:eastAsia="zh-CN"/>
        </w:rPr>
        <w:t>等材料加盖公章</w:t>
      </w:r>
      <w:r>
        <w:rPr>
          <w:rFonts w:hint="eastAsia" w:ascii="Times New Roman" w:hAnsi="Times New Roman" w:eastAsia="仿宋_GB2312" w:cs="仿宋_GB2312"/>
          <w:color w:val="000000"/>
          <w:sz w:val="32"/>
          <w:szCs w:val="32"/>
          <w:highlight w:val="none"/>
          <w:lang w:eastAsia="zh-CN"/>
        </w:rPr>
        <w:t>纸质</w:t>
      </w:r>
      <w:r>
        <w:rPr>
          <w:rFonts w:hint="eastAsia" w:ascii="Times New Roman" w:hAnsi="Times New Roman" w:eastAsia="仿宋_GB2312" w:cs="仿宋_GB2312"/>
          <w:color w:val="000000"/>
          <w:sz w:val="32"/>
          <w:szCs w:val="32"/>
          <w:highlight w:val="none"/>
          <w:lang w:val="en-US" w:eastAsia="zh-CN"/>
        </w:rPr>
        <w:t>版</w:t>
      </w:r>
      <w:r>
        <w:rPr>
          <w:rFonts w:hint="eastAsia" w:ascii="Times New Roman" w:hAnsi="Times New Roman" w:eastAsia="仿宋_GB2312" w:cs="仿宋_GB2312"/>
          <w:color w:val="000000"/>
          <w:sz w:val="32"/>
          <w:szCs w:val="32"/>
          <w:highlight w:val="none"/>
        </w:rPr>
        <w:t>报送至</w:t>
      </w:r>
      <w:r>
        <w:rPr>
          <w:rFonts w:hint="eastAsia" w:ascii="Times New Roman" w:hAnsi="Times New Roman" w:eastAsia="仿宋_GB2312" w:cs="仿宋_GB2312"/>
          <w:color w:val="000000"/>
          <w:sz w:val="32"/>
          <w:szCs w:val="32"/>
          <w:highlight w:val="none"/>
          <w:lang w:val="en-US" w:eastAsia="zh-CN"/>
        </w:rPr>
        <w:t>泉州市</w:t>
      </w:r>
      <w:r>
        <w:rPr>
          <w:rFonts w:hint="eastAsia" w:ascii="Times New Roman" w:hAnsi="Times New Roman" w:eastAsia="仿宋_GB2312" w:cs="仿宋_GB2312"/>
          <w:color w:val="000000"/>
          <w:sz w:val="32"/>
          <w:szCs w:val="32"/>
          <w:highlight w:val="none"/>
        </w:rPr>
        <w:t>工业和信息化</w:t>
      </w:r>
      <w:r>
        <w:rPr>
          <w:rFonts w:hint="eastAsia" w:ascii="Times New Roman" w:hAnsi="Times New Roman" w:eastAsia="仿宋_GB2312" w:cs="仿宋_GB2312"/>
          <w:color w:val="000000"/>
          <w:sz w:val="32"/>
          <w:szCs w:val="32"/>
          <w:highlight w:val="none"/>
          <w:lang w:val="en-US" w:eastAsia="zh-CN"/>
        </w:rPr>
        <w:t>局，</w:t>
      </w:r>
      <w:r>
        <w:rPr>
          <w:rFonts w:hint="eastAsia" w:ascii="Times New Roman" w:hAnsi="Times New Roman" w:eastAsia="仿宋_GB2312" w:cs="仿宋_GB2312"/>
          <w:color w:val="000000"/>
          <w:sz w:val="32"/>
          <w:szCs w:val="32"/>
          <w:highlight w:val="none"/>
        </w:rPr>
        <w:t>电子版发送至</w:t>
      </w:r>
      <w:r>
        <w:rPr>
          <w:rFonts w:hint="eastAsia" w:ascii="Times New Roman" w:hAnsi="Times New Roman" w:eastAsia="仿宋_GB2312" w:cs="仿宋_GB2312"/>
          <w:color w:val="000000"/>
          <w:sz w:val="32"/>
          <w:szCs w:val="32"/>
          <w:highlight w:val="none"/>
        </w:rPr>
        <w:fldChar w:fldCharType="begin"/>
      </w:r>
      <w:r>
        <w:rPr>
          <w:rFonts w:hint="eastAsia" w:ascii="Times New Roman" w:hAnsi="Times New Roman" w:eastAsia="仿宋_GB2312" w:cs="仿宋_GB2312"/>
          <w:color w:val="000000"/>
          <w:sz w:val="32"/>
          <w:szCs w:val="32"/>
          <w:highlight w:val="none"/>
        </w:rPr>
        <w:instrText xml:space="preserve"> HYPERLINK "mailto:songchongyang@cstc.org.cn。" </w:instrText>
      </w:r>
      <w:r>
        <w:rPr>
          <w:rFonts w:hint="eastAsia" w:ascii="Times New Roman" w:hAnsi="Times New Roman" w:eastAsia="仿宋_GB2312" w:cs="仿宋_GB2312"/>
          <w:color w:val="000000"/>
          <w:sz w:val="32"/>
          <w:szCs w:val="32"/>
          <w:highlight w:val="none"/>
        </w:rPr>
        <w:fldChar w:fldCharType="separate"/>
      </w:r>
      <w:r>
        <w:rPr>
          <w:rFonts w:hint="eastAsia" w:ascii="Times New Roman" w:hAnsi="Times New Roman" w:eastAsia="仿宋_GB2312" w:cs="仿宋_GB2312"/>
          <w:color w:val="000000"/>
          <w:sz w:val="32"/>
          <w:szCs w:val="32"/>
          <w:highlight w:val="none"/>
        </w:rPr>
        <w:t>qzszhzxsd@163.com。</w:t>
      </w:r>
      <w:r>
        <w:rPr>
          <w:rFonts w:hint="eastAsia" w:ascii="Times New Roman" w:hAnsi="Times New Roman" w:eastAsia="仿宋_GB2312" w:cs="仿宋_GB2312"/>
          <w:color w:val="000000"/>
          <w:sz w:val="32"/>
          <w:szCs w:val="32"/>
          <w:highlight w:val="none"/>
        </w:rPr>
        <w:fldChar w:fldCharType="end"/>
      </w:r>
    </w:p>
    <w:p w14:paraId="0A145965">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黑体" w:cs="黑体"/>
          <w:color w:val="000000"/>
          <w:sz w:val="32"/>
          <w:szCs w:val="32"/>
          <w:highlight w:val="none"/>
          <w:lang w:eastAsia="zh-CN"/>
        </w:rPr>
        <w:t>（三）评审推广。</w:t>
      </w:r>
      <w:r>
        <w:rPr>
          <w:rFonts w:hint="eastAsia" w:ascii="Times New Roman" w:hAnsi="Times New Roman" w:eastAsia="仿宋_GB2312" w:cs="仿宋_GB2312"/>
          <w:color w:val="000000"/>
          <w:sz w:val="32"/>
          <w:szCs w:val="32"/>
          <w:highlight w:val="none"/>
        </w:rPr>
        <w:t>工业和信息化部组织专家对征集案例进行评审，按程序公示、发布典型案例名单。对成效显著、示范效应良好的典型案例，按程序对外推广应用。</w:t>
      </w:r>
    </w:p>
    <w:p w14:paraId="164F34E4">
      <w:pPr>
        <w:spacing w:line="560" w:lineRule="exact"/>
        <w:ind w:firstLine="640" w:firstLineChars="200"/>
        <w:rPr>
          <w:rFonts w:hint="eastAsia" w:ascii="Times New Roman" w:hAnsi="Times New Roman" w:eastAsia="楷体_GB2312" w:cs="楷体_GB2312"/>
          <w:color w:val="000000"/>
          <w:sz w:val="32"/>
          <w:szCs w:val="32"/>
          <w:highlight w:val="none"/>
        </w:rPr>
      </w:pPr>
      <w:r>
        <w:rPr>
          <w:rFonts w:hint="eastAsia" w:ascii="Times New Roman" w:hAnsi="Times New Roman" w:eastAsia="仿宋_GB2312" w:cs="仿宋_GB2312"/>
          <w:color w:val="000000"/>
          <w:sz w:val="32"/>
          <w:szCs w:val="32"/>
          <w:highlight w:val="none"/>
          <w:lang w:eastAsia="zh-CN"/>
        </w:rPr>
        <w:t>附：两化融合典型案例推荐汇总表</w:t>
      </w:r>
    </w:p>
    <w:p w14:paraId="67E0B5E5">
      <w:pPr>
        <w:spacing w:line="560" w:lineRule="exact"/>
        <w:ind w:firstLine="640" w:firstLineChars="200"/>
        <w:rPr>
          <w:rFonts w:hint="eastAsia" w:ascii="Times New Roman" w:hAnsi="Times New Roman" w:eastAsia="楷体_GB2312" w:cs="楷体_GB2312"/>
          <w:color w:val="000000"/>
          <w:sz w:val="32"/>
          <w:szCs w:val="32"/>
          <w:highlight w:val="none"/>
        </w:rPr>
        <w:sectPr>
          <w:footerReference r:id="rId3" w:type="default"/>
          <w:pgSz w:w="11916" w:h="16848"/>
          <w:pgMar w:top="1432" w:right="1787" w:bottom="1214" w:left="1787" w:header="0" w:footer="946" w:gutter="0"/>
          <w:pgNumType w:fmt="decimal"/>
          <w:cols w:space="720" w:num="1"/>
        </w:sectPr>
      </w:pPr>
    </w:p>
    <w:p w14:paraId="0E1A13A3">
      <w:pPr>
        <w:spacing w:line="560" w:lineRule="exact"/>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附</w:t>
      </w:r>
    </w:p>
    <w:p w14:paraId="43DB046D">
      <w:pPr>
        <w:spacing w:line="560" w:lineRule="exact"/>
        <w:jc w:val="center"/>
        <w:rPr>
          <w:rFonts w:hint="eastAsia" w:ascii="Times New Roman" w:hAnsi="Times New Roman"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两化融合典型案例</w:t>
      </w:r>
      <w:r>
        <w:rPr>
          <w:rFonts w:hint="eastAsia" w:ascii="Times New Roman" w:hAnsi="Times New Roman" w:eastAsia="方正小标宋简体" w:cs="方正小标宋简体"/>
          <w:sz w:val="44"/>
          <w:szCs w:val="44"/>
          <w:highlight w:val="none"/>
          <w:lang w:val="en-US" w:eastAsia="zh-CN"/>
        </w:rPr>
        <w:t>推荐汇总</w:t>
      </w:r>
      <w:r>
        <w:rPr>
          <w:rFonts w:hint="eastAsia" w:ascii="Times New Roman" w:hAnsi="Times New Roman" w:eastAsia="方正小标宋简体" w:cs="方正小标宋简体"/>
          <w:sz w:val="44"/>
          <w:szCs w:val="44"/>
          <w:highlight w:val="none"/>
        </w:rPr>
        <w:t>表</w:t>
      </w:r>
    </w:p>
    <w:p w14:paraId="183E020A">
      <w:pPr>
        <w:spacing w:line="560" w:lineRule="exact"/>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推荐单位（盖章）：</w:t>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rPr>
        <w:t>联系人及电话：</w:t>
      </w:r>
    </w:p>
    <w:tbl>
      <w:tblPr>
        <w:tblStyle w:val="13"/>
        <w:tblW w:w="500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92"/>
        <w:gridCol w:w="1307"/>
        <w:gridCol w:w="1811"/>
        <w:gridCol w:w="1640"/>
        <w:gridCol w:w="1603"/>
        <w:gridCol w:w="6836"/>
      </w:tblGrid>
      <w:tr w14:paraId="4BC3F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283" w:type="pct"/>
            <w:noWrap w:val="0"/>
            <w:vAlign w:val="top"/>
          </w:tcPr>
          <w:p w14:paraId="2A494DE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黑体" w:cs="黑体"/>
                <w:color w:val="000000"/>
                <w:sz w:val="32"/>
                <w:szCs w:val="32"/>
                <w:highlight w:val="none"/>
              </w:rPr>
            </w:pPr>
            <w:r>
              <w:rPr>
                <w:rFonts w:hint="eastAsia" w:ascii="Times New Roman" w:hAnsi="Times New Roman" w:eastAsia="黑体" w:cs="黑体"/>
                <w:color w:val="000000"/>
                <w:sz w:val="32"/>
                <w:szCs w:val="32"/>
                <w:highlight w:val="none"/>
              </w:rPr>
              <w:t>序号</w:t>
            </w:r>
          </w:p>
        </w:tc>
        <w:tc>
          <w:tcPr>
            <w:tcW w:w="467" w:type="pct"/>
            <w:noWrap w:val="0"/>
            <w:vAlign w:val="top"/>
          </w:tcPr>
          <w:p w14:paraId="07D88C3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黑体" w:cs="黑体"/>
                <w:color w:val="000000"/>
                <w:sz w:val="32"/>
                <w:szCs w:val="32"/>
                <w:highlight w:val="none"/>
                <w:lang w:eastAsia="zh-CN"/>
              </w:rPr>
            </w:pPr>
            <w:r>
              <w:rPr>
                <w:rFonts w:hint="eastAsia" w:ascii="Times New Roman" w:hAnsi="Times New Roman" w:eastAsia="黑体" w:cs="黑体"/>
                <w:color w:val="000000"/>
                <w:sz w:val="32"/>
                <w:szCs w:val="32"/>
                <w:highlight w:val="none"/>
                <w:lang w:val="en-US" w:eastAsia="zh-CN"/>
              </w:rPr>
              <w:t>属地</w:t>
            </w:r>
          </w:p>
        </w:tc>
        <w:tc>
          <w:tcPr>
            <w:tcW w:w="647" w:type="pct"/>
            <w:noWrap w:val="0"/>
            <w:vAlign w:val="top"/>
          </w:tcPr>
          <w:p w14:paraId="0B61166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黑体" w:cs="黑体"/>
                <w:color w:val="000000"/>
                <w:sz w:val="32"/>
                <w:szCs w:val="32"/>
                <w:highlight w:val="none"/>
                <w:lang w:val="en-US" w:eastAsia="zh-CN"/>
              </w:rPr>
            </w:pPr>
            <w:r>
              <w:rPr>
                <w:rFonts w:hint="eastAsia" w:ascii="Times New Roman" w:hAnsi="Times New Roman" w:eastAsia="黑体" w:cs="黑体"/>
                <w:color w:val="000000"/>
                <w:sz w:val="32"/>
                <w:szCs w:val="32"/>
                <w:highlight w:val="none"/>
                <w:lang w:val="en-US" w:eastAsia="zh-CN"/>
              </w:rPr>
              <w:t>申报主体</w:t>
            </w:r>
          </w:p>
        </w:tc>
        <w:tc>
          <w:tcPr>
            <w:tcW w:w="586" w:type="pct"/>
            <w:noWrap w:val="0"/>
            <w:vAlign w:val="top"/>
          </w:tcPr>
          <w:p w14:paraId="0540E91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黑体" w:cs="黑体"/>
                <w:color w:val="000000"/>
                <w:sz w:val="32"/>
                <w:szCs w:val="32"/>
                <w:highlight w:val="none"/>
              </w:rPr>
            </w:pPr>
            <w:r>
              <w:rPr>
                <w:rFonts w:hint="eastAsia" w:ascii="Times New Roman" w:hAnsi="Times New Roman" w:eastAsia="黑体" w:cs="黑体"/>
                <w:color w:val="000000"/>
                <w:sz w:val="32"/>
                <w:szCs w:val="32"/>
                <w:highlight w:val="none"/>
              </w:rPr>
              <w:t>案例方向</w:t>
            </w:r>
          </w:p>
        </w:tc>
        <w:tc>
          <w:tcPr>
            <w:tcW w:w="573" w:type="pct"/>
            <w:noWrap w:val="0"/>
            <w:vAlign w:val="top"/>
          </w:tcPr>
          <w:p w14:paraId="0448B85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黑体" w:cs="黑体"/>
                <w:color w:val="000000"/>
                <w:sz w:val="32"/>
                <w:szCs w:val="32"/>
                <w:highlight w:val="none"/>
              </w:rPr>
            </w:pPr>
            <w:r>
              <w:rPr>
                <w:rFonts w:hint="eastAsia" w:ascii="Times New Roman" w:hAnsi="Times New Roman" w:eastAsia="黑体" w:cs="黑体"/>
                <w:color w:val="000000"/>
                <w:sz w:val="32"/>
                <w:szCs w:val="32"/>
                <w:highlight w:val="none"/>
              </w:rPr>
              <w:t>案例名称</w:t>
            </w:r>
          </w:p>
        </w:tc>
        <w:tc>
          <w:tcPr>
            <w:tcW w:w="2443" w:type="pct"/>
            <w:noWrap w:val="0"/>
            <w:vAlign w:val="top"/>
          </w:tcPr>
          <w:p w14:paraId="17176A8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黑体" w:cs="黑体"/>
                <w:color w:val="000000"/>
                <w:sz w:val="32"/>
                <w:szCs w:val="32"/>
                <w:highlight w:val="none"/>
              </w:rPr>
            </w:pPr>
            <w:r>
              <w:rPr>
                <w:rFonts w:hint="eastAsia" w:ascii="Times New Roman" w:hAnsi="Times New Roman" w:eastAsia="黑体" w:cs="黑体"/>
                <w:color w:val="000000"/>
                <w:sz w:val="32"/>
                <w:szCs w:val="32"/>
                <w:highlight w:val="none"/>
              </w:rPr>
              <w:t>案例摘要</w:t>
            </w:r>
          </w:p>
        </w:tc>
      </w:tr>
      <w:tr w14:paraId="59147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283" w:type="pct"/>
            <w:noWrap w:val="0"/>
            <w:vAlign w:val="top"/>
          </w:tcPr>
          <w:p w14:paraId="32B5E64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467" w:type="pct"/>
            <w:noWrap w:val="0"/>
            <w:vAlign w:val="top"/>
          </w:tcPr>
          <w:p w14:paraId="313395F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647" w:type="pct"/>
            <w:noWrap w:val="0"/>
            <w:vAlign w:val="top"/>
          </w:tcPr>
          <w:p w14:paraId="3711E83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586" w:type="pct"/>
            <w:noWrap w:val="0"/>
            <w:vAlign w:val="top"/>
          </w:tcPr>
          <w:p w14:paraId="41456CD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573" w:type="pct"/>
            <w:noWrap w:val="0"/>
            <w:vAlign w:val="top"/>
          </w:tcPr>
          <w:p w14:paraId="2D444E2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2443" w:type="pct"/>
            <w:noWrap w:val="0"/>
            <w:vAlign w:val="top"/>
          </w:tcPr>
          <w:p w14:paraId="5E57CC0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r>
      <w:tr w14:paraId="7C056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283" w:type="pct"/>
            <w:noWrap w:val="0"/>
            <w:vAlign w:val="top"/>
          </w:tcPr>
          <w:p w14:paraId="5A5393A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467" w:type="pct"/>
            <w:noWrap w:val="0"/>
            <w:vAlign w:val="top"/>
          </w:tcPr>
          <w:p w14:paraId="36E004B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647" w:type="pct"/>
            <w:noWrap w:val="0"/>
            <w:vAlign w:val="top"/>
          </w:tcPr>
          <w:p w14:paraId="17AEB08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586" w:type="pct"/>
            <w:noWrap w:val="0"/>
            <w:vAlign w:val="top"/>
          </w:tcPr>
          <w:p w14:paraId="421C8B7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573" w:type="pct"/>
            <w:noWrap w:val="0"/>
            <w:vAlign w:val="top"/>
          </w:tcPr>
          <w:p w14:paraId="39744C4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2443" w:type="pct"/>
            <w:noWrap w:val="0"/>
            <w:vAlign w:val="top"/>
          </w:tcPr>
          <w:p w14:paraId="4AF1E47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r>
      <w:tr w14:paraId="6CAF6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283" w:type="pct"/>
            <w:noWrap w:val="0"/>
            <w:vAlign w:val="top"/>
          </w:tcPr>
          <w:p w14:paraId="1673632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467" w:type="pct"/>
            <w:noWrap w:val="0"/>
            <w:vAlign w:val="top"/>
          </w:tcPr>
          <w:p w14:paraId="04C2795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647" w:type="pct"/>
            <w:noWrap w:val="0"/>
            <w:vAlign w:val="top"/>
          </w:tcPr>
          <w:p w14:paraId="033FFE5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586" w:type="pct"/>
            <w:noWrap w:val="0"/>
            <w:vAlign w:val="top"/>
          </w:tcPr>
          <w:p w14:paraId="3A46B59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573" w:type="pct"/>
            <w:noWrap w:val="0"/>
            <w:vAlign w:val="top"/>
          </w:tcPr>
          <w:p w14:paraId="6CBAF9C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2443" w:type="pct"/>
            <w:noWrap w:val="0"/>
            <w:vAlign w:val="top"/>
          </w:tcPr>
          <w:p w14:paraId="58E2B72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r>
      <w:tr w14:paraId="090EE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8" w:hRule="atLeast"/>
          <w:jc w:val="center"/>
        </w:trPr>
        <w:tc>
          <w:tcPr>
            <w:tcW w:w="283" w:type="pct"/>
            <w:noWrap w:val="0"/>
            <w:vAlign w:val="top"/>
          </w:tcPr>
          <w:p w14:paraId="3F697C0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467" w:type="pct"/>
            <w:noWrap w:val="0"/>
            <w:vAlign w:val="top"/>
          </w:tcPr>
          <w:p w14:paraId="50F0ED8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647" w:type="pct"/>
            <w:noWrap w:val="0"/>
            <w:vAlign w:val="top"/>
          </w:tcPr>
          <w:p w14:paraId="2929D74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586" w:type="pct"/>
            <w:noWrap w:val="0"/>
            <w:vAlign w:val="top"/>
          </w:tcPr>
          <w:p w14:paraId="1084E16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573" w:type="pct"/>
            <w:noWrap w:val="0"/>
            <w:vAlign w:val="top"/>
          </w:tcPr>
          <w:p w14:paraId="77B7BE1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2443" w:type="pct"/>
            <w:noWrap w:val="0"/>
            <w:vAlign w:val="top"/>
          </w:tcPr>
          <w:p w14:paraId="488C3E9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r>
      <w:tr w14:paraId="0A64B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283" w:type="pct"/>
            <w:noWrap w:val="0"/>
            <w:vAlign w:val="top"/>
          </w:tcPr>
          <w:p w14:paraId="424E045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467" w:type="pct"/>
            <w:noWrap w:val="0"/>
            <w:vAlign w:val="top"/>
          </w:tcPr>
          <w:p w14:paraId="6C21557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647" w:type="pct"/>
            <w:noWrap w:val="0"/>
            <w:vAlign w:val="top"/>
          </w:tcPr>
          <w:p w14:paraId="50EEF26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586" w:type="pct"/>
            <w:noWrap w:val="0"/>
            <w:vAlign w:val="top"/>
          </w:tcPr>
          <w:p w14:paraId="0B153DD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573" w:type="pct"/>
            <w:noWrap w:val="0"/>
            <w:vAlign w:val="top"/>
          </w:tcPr>
          <w:p w14:paraId="2053CF6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2443" w:type="pct"/>
            <w:noWrap w:val="0"/>
            <w:vAlign w:val="top"/>
          </w:tcPr>
          <w:p w14:paraId="575C1BA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lang w:eastAsia="zh-CN"/>
              </w:rPr>
            </w:pPr>
          </w:p>
        </w:tc>
      </w:tr>
    </w:tbl>
    <w:p w14:paraId="4E82B195">
      <w:pPr>
        <w:spacing w:line="560" w:lineRule="exact"/>
        <w:rPr>
          <w:rFonts w:hint="eastAsia" w:ascii="Times New Roman" w:hAnsi="Times New Roman" w:eastAsia="黑体" w:cs="黑体"/>
          <w:b w:val="0"/>
          <w:bCs w:val="0"/>
          <w:color w:val="000000"/>
          <w:sz w:val="32"/>
          <w:szCs w:val="32"/>
          <w:highlight w:val="none"/>
          <w:lang w:eastAsia="zh-CN"/>
        </w:rPr>
      </w:pPr>
      <w:r>
        <w:rPr>
          <w:rFonts w:hint="eastAsia" w:ascii="Times New Roman" w:hAnsi="Times New Roman" w:eastAsia="黑体" w:cs="黑体"/>
          <w:b w:val="0"/>
          <w:bCs w:val="0"/>
          <w:color w:val="000000"/>
          <w:sz w:val="32"/>
          <w:szCs w:val="32"/>
          <w:highlight w:val="none"/>
          <w:lang w:eastAsia="zh-CN"/>
        </w:rPr>
        <w:t>注：1.案例方向填写正文列举的5个主题，如涉及其他领域，则填写其他；2.案例名称应精炼准确，紧扣案例方向，突出案例特色亮点，不超过20字；3.案例摘要应突出主要做法及成效、案例特色等，不超过300字；4.联系人请填写本次案例征集工作承办人；5.本汇总表加盖县（市、区）工信部门公章。</w:t>
      </w:r>
    </w:p>
    <w:p w14:paraId="5C3C08BB">
      <w:pPr>
        <w:spacing w:line="560" w:lineRule="exact"/>
        <w:rPr>
          <w:rFonts w:hint="eastAsia" w:ascii="Times New Roman" w:hAnsi="Times New Roman" w:eastAsia="楷体_GB2312" w:cs="楷体_GB2312"/>
          <w:color w:val="000000"/>
          <w:sz w:val="32"/>
          <w:szCs w:val="32"/>
        </w:rPr>
      </w:pPr>
      <w:bookmarkStart w:id="0" w:name="_GoBack"/>
      <w:bookmarkEnd w:id="0"/>
    </w:p>
    <w:sectPr>
      <w:footerReference r:id="rId4" w:type="default"/>
      <w:pgSz w:w="16838" w:h="11906" w:orient="landscape"/>
      <w:pgMar w:top="1800" w:right="1440" w:bottom="1800" w:left="1440" w:header="851" w:footer="113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7FFAEFF" w:usb1="F9DFFFFF" w:usb2="0000007F" w:usb3="00000000" w:csb0="203F01FF" w:csb1="DFFF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24E9A">
    <w:pPr>
      <w:spacing w:line="258" w:lineRule="exact"/>
      <w:ind w:left="4121"/>
      <w:rPr>
        <w:rFonts w:ascii="Arial" w:hAnsi="Arial" w:eastAsia="Arial" w:cs="Arial"/>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AACD2F2">
                          <w:pPr>
                            <w:pStyle w:val="6"/>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15</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CCSB3PmAQAAxwMA&#10;AA4AAAAAAAAAAQAgAAAAHgEAAGRycy9lMm9Eb2MueG1sUEsFBgAAAAAGAAYAWQEAAHYFAAAAAA==&#10;">
              <v:fill on="f" focussize="0,0"/>
              <v:stroke on="f"/>
              <v:imagedata o:title=""/>
              <o:lock v:ext="edit" aspectratio="f"/>
              <v:textbox inset="0mm,0mm,0mm,0mm" style="mso-fit-shape-to-text:t;">
                <w:txbxContent>
                  <w:p w14:paraId="3AACD2F2">
                    <w:pPr>
                      <w:pStyle w:val="6"/>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15</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45830">
    <w:pPr>
      <w:spacing w:line="258" w:lineRule="exact"/>
      <w:ind w:left="4121"/>
      <w:rPr>
        <w:rFonts w:ascii="Arial" w:hAnsi="Arial" w:eastAsia="Arial" w:cs="Arial"/>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68BAA9F">
                          <w:pPr>
                            <w:pStyle w:val="6"/>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38ioP5wEAAMkD&#10;AAAOAAAAAAAAAAEAIAAAAB4BAABkcnMvZTJvRG9jLnhtbFBLBQYAAAAABgAGAFkBAAB3BQAAAAA=&#10;">
              <v:fill on="f" focussize="0,0"/>
              <v:stroke on="f"/>
              <v:imagedata o:title=""/>
              <o:lock v:ext="edit" aspectratio="f"/>
              <v:textbox inset="0mm,0mm,0mm,0mm" style="mso-fit-shape-to-text:t;">
                <w:txbxContent>
                  <w:p w14:paraId="468BAA9F">
                    <w:pPr>
                      <w:pStyle w:val="6"/>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D1E09"/>
    <w:rsid w:val="02536828"/>
    <w:rsid w:val="034877EC"/>
    <w:rsid w:val="03A11802"/>
    <w:rsid w:val="03B83131"/>
    <w:rsid w:val="04D408FB"/>
    <w:rsid w:val="04F559B8"/>
    <w:rsid w:val="055C30DB"/>
    <w:rsid w:val="075D7207"/>
    <w:rsid w:val="07CE18DD"/>
    <w:rsid w:val="09A15B8C"/>
    <w:rsid w:val="0B563222"/>
    <w:rsid w:val="0D6C4786"/>
    <w:rsid w:val="0E1374B2"/>
    <w:rsid w:val="0E2B18CC"/>
    <w:rsid w:val="0E6C1609"/>
    <w:rsid w:val="0E6C20CC"/>
    <w:rsid w:val="0F07055B"/>
    <w:rsid w:val="0F2E6AE0"/>
    <w:rsid w:val="0F732EE8"/>
    <w:rsid w:val="0FB31CA8"/>
    <w:rsid w:val="0FC770AD"/>
    <w:rsid w:val="0FE63812"/>
    <w:rsid w:val="109F4BD4"/>
    <w:rsid w:val="11394A2F"/>
    <w:rsid w:val="123A60C2"/>
    <w:rsid w:val="129220FD"/>
    <w:rsid w:val="13FF43A6"/>
    <w:rsid w:val="14E153AA"/>
    <w:rsid w:val="15090A57"/>
    <w:rsid w:val="157466D4"/>
    <w:rsid w:val="159D7523"/>
    <w:rsid w:val="15F42E8B"/>
    <w:rsid w:val="172774C3"/>
    <w:rsid w:val="179F7C4F"/>
    <w:rsid w:val="188C136C"/>
    <w:rsid w:val="18D6206B"/>
    <w:rsid w:val="193A0459"/>
    <w:rsid w:val="1953639C"/>
    <w:rsid w:val="19C05980"/>
    <w:rsid w:val="19E77FBB"/>
    <w:rsid w:val="1E03765B"/>
    <w:rsid w:val="1F2F296F"/>
    <w:rsid w:val="1F4E7AE0"/>
    <w:rsid w:val="1F952A0C"/>
    <w:rsid w:val="23F23130"/>
    <w:rsid w:val="2593416A"/>
    <w:rsid w:val="25FA73A5"/>
    <w:rsid w:val="27430A91"/>
    <w:rsid w:val="27FB5F25"/>
    <w:rsid w:val="28553C8E"/>
    <w:rsid w:val="29453D02"/>
    <w:rsid w:val="29B035C1"/>
    <w:rsid w:val="2AFF093C"/>
    <w:rsid w:val="2B252B9C"/>
    <w:rsid w:val="2BAD0DF3"/>
    <w:rsid w:val="2BF51A0F"/>
    <w:rsid w:val="2C955184"/>
    <w:rsid w:val="2E560813"/>
    <w:rsid w:val="309B7D97"/>
    <w:rsid w:val="319F0414"/>
    <w:rsid w:val="32652467"/>
    <w:rsid w:val="32881493"/>
    <w:rsid w:val="33E02FA5"/>
    <w:rsid w:val="34487319"/>
    <w:rsid w:val="36770772"/>
    <w:rsid w:val="36C21BE7"/>
    <w:rsid w:val="38FD3E94"/>
    <w:rsid w:val="390667A8"/>
    <w:rsid w:val="39575D10"/>
    <w:rsid w:val="39A5011C"/>
    <w:rsid w:val="3A8F750B"/>
    <w:rsid w:val="3C931450"/>
    <w:rsid w:val="3D734E6A"/>
    <w:rsid w:val="3D7B6A6D"/>
    <w:rsid w:val="3D9D497C"/>
    <w:rsid w:val="3DE74F30"/>
    <w:rsid w:val="40505291"/>
    <w:rsid w:val="42BA2186"/>
    <w:rsid w:val="43CF6B92"/>
    <w:rsid w:val="442C2CF9"/>
    <w:rsid w:val="446C706E"/>
    <w:rsid w:val="453A049E"/>
    <w:rsid w:val="462E594E"/>
    <w:rsid w:val="46683C12"/>
    <w:rsid w:val="46FC2E01"/>
    <w:rsid w:val="47627C63"/>
    <w:rsid w:val="47E81FD1"/>
    <w:rsid w:val="4824172E"/>
    <w:rsid w:val="48F52871"/>
    <w:rsid w:val="4904108C"/>
    <w:rsid w:val="4A192915"/>
    <w:rsid w:val="4A7843BC"/>
    <w:rsid w:val="4AAF069D"/>
    <w:rsid w:val="4B4614E8"/>
    <w:rsid w:val="4BF03B4A"/>
    <w:rsid w:val="4CB9218D"/>
    <w:rsid w:val="4D1D5AB9"/>
    <w:rsid w:val="4D357738"/>
    <w:rsid w:val="4DEB524F"/>
    <w:rsid w:val="4E320A06"/>
    <w:rsid w:val="4E962786"/>
    <w:rsid w:val="4EF90150"/>
    <w:rsid w:val="509946DA"/>
    <w:rsid w:val="510F2828"/>
    <w:rsid w:val="515D0FE2"/>
    <w:rsid w:val="54091C4C"/>
    <w:rsid w:val="541B5AFB"/>
    <w:rsid w:val="57A04D4E"/>
    <w:rsid w:val="5902449F"/>
    <w:rsid w:val="59DA281A"/>
    <w:rsid w:val="5B9C6858"/>
    <w:rsid w:val="5BF23DFB"/>
    <w:rsid w:val="5CC04E72"/>
    <w:rsid w:val="5D02513D"/>
    <w:rsid w:val="5D233A7F"/>
    <w:rsid w:val="5EE04F98"/>
    <w:rsid w:val="5F290F36"/>
    <w:rsid w:val="619B5A9F"/>
    <w:rsid w:val="660B4B1B"/>
    <w:rsid w:val="67B64128"/>
    <w:rsid w:val="6A5D4D8D"/>
    <w:rsid w:val="6BE70117"/>
    <w:rsid w:val="6C0D4AD4"/>
    <w:rsid w:val="6C404DDC"/>
    <w:rsid w:val="6DD56E3A"/>
    <w:rsid w:val="6F7F0470"/>
    <w:rsid w:val="6FF15BC1"/>
    <w:rsid w:val="70711485"/>
    <w:rsid w:val="732B3CF3"/>
    <w:rsid w:val="73317DD8"/>
    <w:rsid w:val="73491F32"/>
    <w:rsid w:val="74F65471"/>
    <w:rsid w:val="753D30AC"/>
    <w:rsid w:val="779001A9"/>
    <w:rsid w:val="783E3A02"/>
    <w:rsid w:val="7A1E3476"/>
    <w:rsid w:val="7B35042F"/>
    <w:rsid w:val="7BEC3427"/>
    <w:rsid w:val="7E35461F"/>
    <w:rsid w:val="7E552C38"/>
    <w:rsid w:val="7FCE6D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semiHidden/>
    <w:qFormat/>
    <w:uiPriority w:val="0"/>
    <w:rPr>
      <w:rFonts w:ascii="FangSong_GB2312" w:hAnsi="FangSong_GB2312" w:eastAsia="FangSong_GB2312" w:cs="FangSong_GB2312"/>
      <w:sz w:val="31"/>
      <w:szCs w:val="31"/>
      <w:lang w:val="en-US" w:eastAsia="en-US" w:bidi="ar-SA"/>
    </w:rPr>
  </w:style>
  <w:style w:type="paragraph" w:styleId="5">
    <w:name w:val="Body Text First Indent"/>
    <w:basedOn w:val="4"/>
    <w:qFormat/>
    <w:uiPriority w:val="0"/>
    <w:pPr>
      <w:ind w:firstLine="420" w:firstLineChars="1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Title"/>
    <w:basedOn w:val="1"/>
    <w:next w:val="1"/>
    <w:qFormat/>
    <w:uiPriority w:val="10"/>
    <w:pPr>
      <w:jc w:val="center"/>
      <w:outlineLvl w:val="0"/>
    </w:pPr>
    <w:rPr>
      <w:rFonts w:ascii="方正小标宋_GBK" w:hAnsi="方正小标宋_GBK" w:eastAsia="方正小标宋_GBK" w:cs="方正小标宋_GBK"/>
      <w:sz w:val="44"/>
      <w:szCs w:val="44"/>
    </w:rPr>
  </w:style>
  <w:style w:type="character" w:styleId="12">
    <w:name w:val="Hyperlink"/>
    <w:basedOn w:val="11"/>
    <w:qFormat/>
    <w:uiPriority w:val="0"/>
    <w:rPr>
      <w:color w:val="0000FF"/>
      <w:u w:val="single"/>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457eaa83-cae3-483a-93d7-4f67866ee718</errorID>
      <errorWord>。</errorWord>
      <group>L1_Punc</group>
      <groupName>标点问题</groupName>
      <ability>L2_Punc</ability>
      <abilityName>标点符号检查</abilityName>
      <candidateList>
        <item/>
      </candidateList>
      <explain>标题文本后不使用标点符号。</explain>
      <paraID>45039E98</paraID>
      <start>11</start>
      <end>12</end>
      <status>unmodified</status>
      <modifiedWord/>
      <trackRevisions>false</trackRevisions>
    </reviewItem>
    <reviewItem>
      <errorID>434ea607-6ef8-4281-97f2-9da22e3a0db0</errorID>
      <errorWord>。</errorWord>
      <group>L1_Punc</group>
      <groupName>标点问题</groupName>
      <ability>L2_Punc</ability>
      <abilityName>标点符号检查</abilityName>
      <candidateList>
        <item/>
      </candidateList>
      <explain>标题文本后不使用标点符号。</explain>
      <paraID>4EE302F4</paraID>
      <start>6</start>
      <end>7</end>
      <status>unmodified</status>
      <modifiedWord/>
      <trackRevisions>false</trackRevisions>
    </reviewItem>
    <reviewItem>
      <errorID>31f737aa-bbe8-444d-97c7-9dc71350bab8</errorID>
      <errorWord>。</errorWord>
      <group>L1_Punc</group>
      <groupName>标点问题</groupName>
      <ability>L2_Punc</ability>
      <abilityName>标点符号检查</abilityName>
      <candidateList>
        <item/>
      </candidateList>
      <explain>标题文本后不使用标点符号。</explain>
      <paraID>4194AAD6</paraID>
      <start>5</start>
      <end>6</end>
      <status>unmodified</status>
      <modifiedWord/>
      <trackRevisions>false</trackRevisions>
    </reviewItem>
    <reviewItem>
      <errorID>5862eddb-536f-42ec-bf41-db5c98123a4c</errorID>
      <errorWord>。</errorWord>
      <group>L1_Punc</group>
      <groupName>标点问题</groupName>
      <ability>L2_Punc</ability>
      <abilityName>标点符号检查</abilityName>
      <candidateList>
        <item/>
      </candidateList>
      <explain>标题文本后不使用标点符号。</explain>
      <paraID>2B83DDBB</paraID>
      <start>6</start>
      <end>7</end>
      <status>unmodified</status>
      <modifiedWord/>
      <trackRevisions>false</trackRevisions>
    </reviewItem>
    <reviewItem>
      <errorID>fa4e1a6b-af27-40b5-975d-ed3b31033b68</errorID>
      <errorWord>。</errorWord>
      <group>L1_Punc</group>
      <groupName>标点问题</groupName>
      <ability>L2_Punc</ability>
      <abilityName>标点符号检查</abilityName>
      <candidateList>
        <item/>
      </candidateList>
      <explain>标题文本后不使用标点符号。</explain>
      <paraID>103F0EDC</paraID>
      <start>9</start>
      <end>10</end>
      <status>unmodified</status>
      <modifiedWord/>
      <trackRevisions>false</trackRevisions>
    </reviewItem>
    <reviewItem>
      <errorID>6933f39f-d57a-4df2-b520-6d8d6224b08f</errorID>
      <errorWord>。</errorWord>
      <group>L1_Punc</group>
      <groupName>标点问题</groupName>
      <ability>L2_Punc</ability>
      <abilityName>标点符号检查</abilityName>
      <candidateList>
        <item/>
      </candidateList>
      <explain>标题文本后不使用标点符号。</explain>
      <paraID>3C84D054</paraID>
      <start>6</start>
      <end>7</end>
      <status>unmodified</status>
      <modifiedWord/>
      <trackRevisions>false</trackRevisions>
    </reviewItem>
    <reviewItem>
      <errorID>3a216ded-7695-44e4-b3b1-c83d1e446f13</errorID>
      <errorWord>。</errorWord>
      <group>L1_Punc</group>
      <groupName>标点问题</groupName>
      <ability>L2_Punc</ability>
      <abilityName>标点符号检查</abilityName>
      <candidateList>
        <item/>
      </candidateList>
      <explain>标题文本后不使用标点符号。</explain>
      <paraID>45555F44</paraID>
      <start>6</start>
      <end>7</end>
      <status>unmodified</status>
      <modifiedWord/>
      <trackRevisions>false</trackRevisions>
    </reviewItem>
    <reviewItem>
      <errorID>e2b86c30-fc66-4d8b-9076-eaf57c91dc0e</errorID>
      <errorWord>。</errorWord>
      <group>L1_Punc</group>
      <groupName>标点问题</groupName>
      <ability>L2_Punc</ability>
      <abilityName>标点符号检查</abilityName>
      <candidateList>
        <item/>
      </candidateList>
      <explain>标题文本后不使用标点符号。</explain>
      <paraID>72AF7143</paraID>
      <start>8</start>
      <end>9</end>
      <status>unmodified</status>
      <modifiedWord/>
      <trackRevisions>false</trackRevisions>
    </reviewItem>
    <reviewItem>
      <errorID>29d19119-1f32-4ff7-9bf2-35d4f0ef132f</errorID>
      <errorWord>。</errorWord>
      <group>L1_Punc</group>
      <groupName>标点问题</groupName>
      <ability>L2_Punc</ability>
      <abilityName>标点符号检查</abilityName>
      <candidateList>
        <item/>
      </candidateList>
      <explain>标题文本后不使用标点符号。</explain>
      <paraID>4C0BBBB5</paraID>
      <start>6</start>
      <end>7</end>
      <status>unmodified</status>
      <modifiedWord/>
      <trackRevisions>false</trackRevisions>
    </reviewItem>
    <reviewItem>
      <errorID>a38239a7-c160-4a0b-ae14-b8617ef4843c</errorID>
      <errorWord>。</errorWord>
      <group>L1_Punc</group>
      <groupName>标点问题</groupName>
      <ability>L2_Punc</ability>
      <abilityName>标点符号检查</abilityName>
      <candidateList>
        <item/>
      </candidateList>
      <explain>标题文本后不使用标点符号。</explain>
      <paraID>479A12A1</paraID>
      <start>5</start>
      <end>6</end>
      <status>unmodified</status>
      <modifiedWord/>
      <trackRevisions>false</trackRevisions>
    </reviewItem>
    <reviewItem>
      <errorID>375d3576-5a96-4ce8-ac5f-e4bbaac9f7fd</errorID>
      <errorWord>。</errorWord>
      <group>L1_Punc</group>
      <groupName>标点问题</groupName>
      <ability>L2_Punc</ability>
      <abilityName>标点符号检查</abilityName>
      <candidateList>
        <item/>
      </candidateList>
      <explain>标题文本后不使用标点符号。</explain>
      <paraID>3EE98C51</paraID>
      <start>12</start>
      <end>13</end>
      <status>unmodified</status>
      <modifiedWord/>
      <trackRevisions>false</trackRevisions>
    </reviewItem>
    <reviewItem>
      <errorID>8ecf458e-2e9d-4ae2-9206-899152a5f261</errorID>
      <errorWord>。</errorWord>
      <group>L1_Punc</group>
      <groupName>标点问题</groupName>
      <ability>L2_Punc</ability>
      <abilityName>标点符号检查</abilityName>
      <candidateList>
        <item/>
      </candidateList>
      <explain>标题文本后不使用标点符号。</explain>
      <paraID>3B1D4EDC</paraID>
      <start>10</start>
      <end>11</end>
      <status>unmodified</status>
      <modifiedWord/>
      <trackRevisions>false</trackRevisions>
    </reviewItem>
    <reviewItem>
      <errorID>43b8d094-7ea8-4001-bad4-ffdbcc5ddd45</errorID>
      <errorWord>。</errorWord>
      <group>L1_Punc</group>
      <groupName>标点问题</groupName>
      <ability>L2_Punc</ability>
      <abilityName>标点符号检查</abilityName>
      <candidateList>
        <item/>
      </candidateList>
      <explain>标题文本后不使用标点符号。</explain>
      <paraID>25ED9A34</paraID>
      <start>11</start>
      <end>12</end>
      <status>unmodified</status>
      <modifiedWord/>
      <trackRevisions>false</trackRevisions>
    </reviewItem>
    <reviewItem>
      <errorID>d240db18-d296-47bd-a981-f2344849d07a</errorID>
      <errorWord>。</errorWord>
      <group>L1_Punc</group>
      <groupName>标点问题</groupName>
      <ability>L2_Punc</ability>
      <abilityName>标点符号检查</abilityName>
      <candidateList>
        <item/>
      </candidateList>
      <explain>标题文本后不使用标点符号。</explain>
      <paraID>227CD320</paraID>
      <start>11</start>
      <end>12</end>
      <status>unmodified</status>
      <modifiedWord/>
      <trackRevisions>false</trackRevisions>
    </reviewItem>
    <reviewItem>
      <errorID>7510cbed-951d-452e-ada2-6819200e372c</errorID>
      <errorWord>。</errorWord>
      <group>L1_Punc</group>
      <groupName>标点问题</groupName>
      <ability>L2_Punc</ability>
      <abilityName>标点符号检查</abilityName>
      <candidateList>
        <item/>
      </candidateList>
      <explain>标题文本后不使用标点符号。</explain>
      <paraID>57E713F2</paraID>
      <start>10</start>
      <end>11</end>
      <status>unmodified</status>
      <modifiedWord/>
      <trackRevisions>false</trackRevisions>
    </reviewItem>
    <reviewItem>
      <errorID>11a881cc-7951-4301-ac87-ac51155ffcb6</errorID>
      <errorWord>。</errorWord>
      <group>L1_Punc</group>
      <groupName>标点问题</groupName>
      <ability>L2_Punc</ability>
      <abilityName>标点符号检查</abilityName>
      <candidateList>
        <item/>
      </candidateList>
      <explain>标题文本后不使用标点符号。</explain>
      <paraID>507935E3</paraID>
      <start>14</start>
      <end>15</end>
      <status>unmodified</status>
      <modifiedWord/>
      <trackRevisions>false</trackRevisions>
    </reviewItem>
    <reviewItem>
      <errorID>a632f7e0-515c-45c7-93b9-5f0b1d182437</errorID>
      <errorWord>。</errorWord>
      <group>L1_Punc</group>
      <groupName>标点问题</groupName>
      <ability>L2_Punc</ability>
      <abilityName>标点符号检查</abilityName>
      <candidateList>
        <item/>
      </candidateList>
      <explain>标题文本后不使用标点符号。</explain>
      <paraID>4FC75109</paraID>
      <start>44</start>
      <end>45</end>
      <status>unmodified</status>
      <modifiedWord/>
      <trackRevisions>false</trackRevisions>
    </reviewItem>
    <reviewItem>
      <errorID>57d84519-f264-48ca-96d9-0c318689a4fa</errorID>
      <errorWord>试衣</errorWord>
      <group>L1_Word</group>
      <groupName>字词问题</groupName>
      <ability>L2_Typo</ability>
      <abilityName>字词错误</abilityName>
      <candidateList>
        <item>试验</item>
      </candidateList>
      <explain/>
      <paraID>5B88EE73</paraID>
      <start>62</start>
      <end>64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8c148b-430d-4b76-ad5d-d99a9fd4eef8}">
  <ds:schemaRefs/>
</ds:datastoreItem>
</file>

<file path=docProps/app.xml><?xml version="1.0" encoding="utf-8"?>
<Properties xmlns="http://schemas.openxmlformats.org/officeDocument/2006/extended-properties" xmlns:vt="http://schemas.openxmlformats.org/officeDocument/2006/docPropsVTypes">
  <Template>Normal.dotm</Template>
  <Pages>5</Pages>
  <Words>6095</Words>
  <Characters>6277</Characters>
  <Lines>0</Lines>
  <Paragraphs>0</Paragraphs>
  <TotalTime>25</TotalTime>
  <ScaleCrop>false</ScaleCrop>
  <LinksUpToDate>false</LinksUpToDate>
  <CharactersWithSpaces>6299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2025-11-24T03:14:00Z</dcterms:created>
  <dc:creator>黄雪婷</dc:creator>
  <cp:lastModifiedBy>.</cp:lastModifiedBy>
  <cp:lastPrinted>2025-11-28T09:11:00Z</cp:lastPrinted>
  <dcterms:modified xsi:type="dcterms:W3CDTF">2025-12-01T06:42:46Z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eyJoZGlkIjoiNjE3MTNhYzI3ZTUzZjUxY2RkZjRlODAzZWI0Yjc0MGYiLCJ1c2VySWQiOiI1Mzc0NDc4MjUifQ==</vt:lpwstr>
  </property>
  <property fmtid="{D5CDD505-2E9C-101B-9397-08002B2CF9AE}" pid="4" name="ICV">
    <vt:lpwstr>4642C13862A748388C5D8BFBC3698025_13</vt:lpwstr>
  </property>
</Properties>
</file>