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szCs w:val="32"/>
        </w:rPr>
      </w:pPr>
      <w:bookmarkStart w:id="0" w:name="_GoBack"/>
      <w:bookmarkEnd w:id="0"/>
      <w:r>
        <w:rPr>
          <w:rFonts w:hint="eastAsia" w:ascii="黑体" w:hAnsi="黑体" w:eastAsia="黑体" w:cs="黑体"/>
          <w:szCs w:val="32"/>
        </w:rPr>
        <w:t>附件2</w:t>
      </w:r>
    </w:p>
    <w:p>
      <w:pPr>
        <w:pStyle w:val="2"/>
        <w:adjustRightInd w:val="0"/>
        <w:snapToGrid w:val="0"/>
        <w:spacing w:beforeLines="0" w:afterLines="0" w:line="560" w:lineRule="exact"/>
        <w:rPr>
          <w:rFonts w:ascii="方正小标宋简体" w:hAnsi="方正小标宋简体" w:cs="方正小标宋简体"/>
          <w:szCs w:val="44"/>
        </w:rPr>
      </w:pPr>
      <w:r>
        <w:rPr>
          <w:rFonts w:hint="eastAsia" w:ascii="方正小标宋简体" w:hAnsi="方正小标宋简体" w:cs="方正小标宋简体"/>
          <w:szCs w:val="44"/>
        </w:rPr>
        <w:t>不再享受先进制造业企业增值税加计抵减政策名单</w:t>
      </w:r>
      <w:r>
        <w:rPr>
          <w:rFonts w:hint="eastAsia" w:ascii="方正小标宋简体" w:hAnsi="方正小标宋简体" w:cs="方正小标宋简体"/>
          <w:szCs w:val="44"/>
        </w:rPr>
        <w:br w:type="textWrapping"/>
      </w:r>
      <w:r>
        <w:rPr>
          <w:rFonts w:hint="eastAsia" w:ascii="方正小标宋简体" w:hAnsi="方正小标宋简体" w:cs="方正小标宋简体"/>
          <w:szCs w:val="44"/>
        </w:rPr>
        <w:t>（总公司）</w:t>
      </w:r>
    </w:p>
    <w:p>
      <w:pPr>
        <w:spacing w:line="560" w:lineRule="exact"/>
        <w:jc w:val="center"/>
        <w:rPr>
          <w:rFonts w:eastAsia="黑体"/>
          <w:b/>
          <w:bCs/>
          <w:sz w:val="28"/>
          <w:szCs w:val="28"/>
        </w:rPr>
      </w:pPr>
      <w:r>
        <w:rPr>
          <w:rFonts w:eastAsia="黑体"/>
          <w:sz w:val="28"/>
          <w:szCs w:val="28"/>
        </w:rPr>
        <w:t xml:space="preserve">填报单位（公章）： </w:t>
      </w:r>
      <w:r>
        <w:rPr>
          <w:rFonts w:hint="eastAsia" w:eastAsia="黑体"/>
          <w:sz w:val="28"/>
          <w:szCs w:val="28"/>
        </w:rPr>
        <w:t xml:space="preserve">                           </w:t>
      </w:r>
      <w:r>
        <w:rPr>
          <w:rFonts w:eastAsia="黑体"/>
          <w:sz w:val="28"/>
          <w:szCs w:val="28"/>
        </w:rPr>
        <w:t>填报时间：</w:t>
      </w:r>
      <w:r>
        <w:rPr>
          <w:rFonts w:eastAsia="黑体"/>
          <w:sz w:val="28"/>
          <w:szCs w:val="28"/>
          <w:u w:val="single"/>
        </w:rPr>
        <w:t xml:space="preserve">     年   月   日</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2512"/>
        <w:gridCol w:w="2494"/>
        <w:gridCol w:w="1587"/>
        <w:gridCol w:w="1587"/>
        <w:gridCol w:w="1587"/>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31" w:type="dxa"/>
            <w:noWrap/>
            <w:vAlign w:val="center"/>
          </w:tcPr>
          <w:p>
            <w:pPr>
              <w:spacing w:line="560" w:lineRule="exact"/>
              <w:jc w:val="center"/>
              <w:rPr>
                <w:rFonts w:eastAsia="黑体"/>
                <w:sz w:val="28"/>
                <w:szCs w:val="28"/>
              </w:rPr>
            </w:pPr>
            <w:r>
              <w:rPr>
                <w:rFonts w:eastAsia="黑体"/>
                <w:sz w:val="28"/>
                <w:szCs w:val="28"/>
              </w:rPr>
              <w:t>序号</w:t>
            </w:r>
          </w:p>
        </w:tc>
        <w:tc>
          <w:tcPr>
            <w:tcW w:w="2512" w:type="dxa"/>
            <w:noWrap/>
            <w:vAlign w:val="center"/>
          </w:tcPr>
          <w:p>
            <w:pPr>
              <w:spacing w:line="560" w:lineRule="exact"/>
              <w:jc w:val="center"/>
              <w:rPr>
                <w:rFonts w:eastAsia="黑体"/>
                <w:sz w:val="28"/>
                <w:szCs w:val="28"/>
              </w:rPr>
            </w:pPr>
            <w:r>
              <w:rPr>
                <w:rFonts w:eastAsia="黑体"/>
                <w:sz w:val="28"/>
                <w:szCs w:val="28"/>
              </w:rPr>
              <w:t>企业名称</w:t>
            </w:r>
          </w:p>
        </w:tc>
        <w:tc>
          <w:tcPr>
            <w:tcW w:w="2494" w:type="dxa"/>
            <w:noWrap/>
            <w:vAlign w:val="center"/>
          </w:tcPr>
          <w:p>
            <w:pPr>
              <w:spacing w:line="560" w:lineRule="exact"/>
              <w:jc w:val="center"/>
              <w:rPr>
                <w:rFonts w:eastAsia="黑体"/>
                <w:sz w:val="28"/>
                <w:szCs w:val="28"/>
              </w:rPr>
            </w:pPr>
            <w:r>
              <w:rPr>
                <w:rFonts w:eastAsia="黑体"/>
                <w:sz w:val="28"/>
                <w:szCs w:val="28"/>
              </w:rPr>
              <w:t>统一社会信用代码</w:t>
            </w:r>
          </w:p>
        </w:tc>
        <w:tc>
          <w:tcPr>
            <w:tcW w:w="1587" w:type="dxa"/>
            <w:noWrap/>
            <w:vAlign w:val="center"/>
          </w:tcPr>
          <w:p>
            <w:pPr>
              <w:spacing w:line="560" w:lineRule="exact"/>
              <w:jc w:val="center"/>
              <w:rPr>
                <w:rFonts w:eastAsia="黑体"/>
                <w:sz w:val="28"/>
                <w:szCs w:val="28"/>
              </w:rPr>
            </w:pPr>
            <w:r>
              <w:rPr>
                <w:rFonts w:eastAsia="黑体"/>
                <w:sz w:val="28"/>
                <w:szCs w:val="28"/>
              </w:rPr>
              <w:t>不再享受</w:t>
            </w:r>
            <w:r>
              <w:rPr>
                <w:rFonts w:eastAsia="黑体"/>
                <w:sz w:val="28"/>
                <w:szCs w:val="28"/>
              </w:rPr>
              <w:br w:type="textWrapping"/>
            </w:r>
            <w:r>
              <w:rPr>
                <w:rFonts w:eastAsia="黑体"/>
                <w:sz w:val="28"/>
                <w:szCs w:val="28"/>
              </w:rPr>
              <w:t>政策原因</w:t>
            </w:r>
          </w:p>
        </w:tc>
        <w:tc>
          <w:tcPr>
            <w:tcW w:w="1587" w:type="dxa"/>
            <w:noWrap/>
            <w:vAlign w:val="center"/>
          </w:tcPr>
          <w:p>
            <w:pPr>
              <w:spacing w:line="560" w:lineRule="exact"/>
              <w:jc w:val="center"/>
              <w:rPr>
                <w:rFonts w:eastAsia="黑体"/>
                <w:sz w:val="28"/>
                <w:szCs w:val="28"/>
              </w:rPr>
            </w:pPr>
            <w:r>
              <w:rPr>
                <w:rFonts w:eastAsia="黑体"/>
                <w:sz w:val="28"/>
                <w:szCs w:val="28"/>
              </w:rPr>
              <w:t>不再享受</w:t>
            </w:r>
            <w:r>
              <w:rPr>
                <w:rFonts w:eastAsia="黑体"/>
                <w:sz w:val="28"/>
                <w:szCs w:val="28"/>
              </w:rPr>
              <w:br w:type="textWrapping"/>
            </w:r>
            <w:r>
              <w:rPr>
                <w:rFonts w:eastAsia="黑体"/>
                <w:sz w:val="28"/>
                <w:szCs w:val="28"/>
              </w:rPr>
              <w:t>政策时间</w:t>
            </w:r>
          </w:p>
        </w:tc>
        <w:tc>
          <w:tcPr>
            <w:tcW w:w="1587" w:type="dxa"/>
            <w:noWrap/>
            <w:vAlign w:val="center"/>
          </w:tcPr>
          <w:p>
            <w:pPr>
              <w:spacing w:line="560" w:lineRule="exact"/>
              <w:jc w:val="center"/>
              <w:rPr>
                <w:rFonts w:eastAsia="黑体"/>
                <w:sz w:val="28"/>
                <w:szCs w:val="28"/>
              </w:rPr>
            </w:pPr>
            <w:r>
              <w:rPr>
                <w:rFonts w:eastAsia="黑体"/>
                <w:sz w:val="28"/>
                <w:szCs w:val="28"/>
              </w:rPr>
              <w:t>是否设立</w:t>
            </w:r>
            <w:r>
              <w:rPr>
                <w:rFonts w:eastAsia="黑体"/>
                <w:sz w:val="28"/>
                <w:szCs w:val="28"/>
              </w:rPr>
              <w:br w:type="textWrapping"/>
            </w:r>
            <w:r>
              <w:rPr>
                <w:rFonts w:eastAsia="黑体"/>
                <w:sz w:val="28"/>
                <w:szCs w:val="28"/>
              </w:rPr>
              <w:t>非法人</w:t>
            </w:r>
          </w:p>
          <w:p>
            <w:pPr>
              <w:spacing w:line="560" w:lineRule="exact"/>
              <w:jc w:val="center"/>
              <w:rPr>
                <w:rFonts w:eastAsia="黑体"/>
                <w:sz w:val="28"/>
                <w:szCs w:val="28"/>
              </w:rPr>
            </w:pPr>
            <w:r>
              <w:rPr>
                <w:rFonts w:eastAsia="黑体"/>
                <w:sz w:val="28"/>
                <w:szCs w:val="28"/>
              </w:rPr>
              <w:t>分支机构</w:t>
            </w:r>
          </w:p>
        </w:tc>
        <w:tc>
          <w:tcPr>
            <w:tcW w:w="3402" w:type="dxa"/>
            <w:noWrap/>
            <w:vAlign w:val="center"/>
          </w:tcPr>
          <w:p>
            <w:pPr>
              <w:spacing w:line="560" w:lineRule="exact"/>
              <w:jc w:val="center"/>
              <w:rPr>
                <w:rFonts w:eastAsia="黑体"/>
                <w:sz w:val="28"/>
                <w:szCs w:val="28"/>
              </w:rPr>
            </w:pPr>
            <w:r>
              <w:rPr>
                <w:rFonts w:eastAsia="黑体"/>
                <w:sz w:val="28"/>
                <w:szCs w:val="28"/>
              </w:rPr>
              <w:t>如是，各分支机构的名称及统一社会信用代码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31" w:type="dxa"/>
            <w:noWrap/>
            <w:vAlign w:val="center"/>
          </w:tcPr>
          <w:p>
            <w:pPr>
              <w:spacing w:line="560" w:lineRule="exact"/>
              <w:jc w:val="center"/>
              <w:rPr>
                <w:b/>
                <w:bCs/>
                <w:sz w:val="28"/>
                <w:szCs w:val="28"/>
              </w:rPr>
            </w:pPr>
            <w:r>
              <w:rPr>
                <w:b/>
                <w:bCs/>
                <w:sz w:val="28"/>
                <w:szCs w:val="28"/>
              </w:rPr>
              <w:t>1</w:t>
            </w:r>
          </w:p>
        </w:tc>
        <w:tc>
          <w:tcPr>
            <w:tcW w:w="2512" w:type="dxa"/>
            <w:noWrap/>
            <w:vAlign w:val="center"/>
          </w:tcPr>
          <w:p>
            <w:pPr>
              <w:spacing w:line="560" w:lineRule="exact"/>
              <w:jc w:val="center"/>
              <w:rPr>
                <w:color w:val="C00000"/>
                <w:sz w:val="28"/>
                <w:szCs w:val="28"/>
              </w:rPr>
            </w:pPr>
          </w:p>
        </w:tc>
        <w:tc>
          <w:tcPr>
            <w:tcW w:w="2494" w:type="dxa"/>
            <w:noWrap/>
            <w:vAlign w:val="center"/>
          </w:tcPr>
          <w:p>
            <w:pPr>
              <w:spacing w:line="560" w:lineRule="exact"/>
              <w:jc w:val="center"/>
              <w:rPr>
                <w:color w:val="C00000"/>
                <w:sz w:val="28"/>
                <w:szCs w:val="28"/>
              </w:rPr>
            </w:pPr>
          </w:p>
        </w:tc>
        <w:tc>
          <w:tcPr>
            <w:tcW w:w="1587" w:type="dxa"/>
            <w:noWrap/>
            <w:vAlign w:val="center"/>
          </w:tcPr>
          <w:p>
            <w:pPr>
              <w:spacing w:line="560" w:lineRule="exact"/>
              <w:jc w:val="center"/>
              <w:rPr>
                <w:color w:val="C00000"/>
                <w:sz w:val="28"/>
                <w:szCs w:val="28"/>
              </w:rPr>
            </w:pPr>
          </w:p>
        </w:tc>
        <w:tc>
          <w:tcPr>
            <w:tcW w:w="1587" w:type="dxa"/>
            <w:noWrap/>
            <w:vAlign w:val="center"/>
          </w:tcPr>
          <w:p>
            <w:pPr>
              <w:spacing w:line="560" w:lineRule="exact"/>
              <w:jc w:val="center"/>
              <w:rPr>
                <w:color w:val="C00000"/>
                <w:sz w:val="28"/>
                <w:szCs w:val="28"/>
              </w:rPr>
            </w:pPr>
          </w:p>
        </w:tc>
        <w:tc>
          <w:tcPr>
            <w:tcW w:w="1587" w:type="dxa"/>
            <w:noWrap/>
            <w:vAlign w:val="center"/>
          </w:tcPr>
          <w:p>
            <w:pPr>
              <w:spacing w:line="560" w:lineRule="exact"/>
              <w:jc w:val="center"/>
              <w:rPr>
                <w:color w:val="C00000"/>
                <w:sz w:val="28"/>
                <w:szCs w:val="28"/>
              </w:rPr>
            </w:pPr>
          </w:p>
        </w:tc>
        <w:tc>
          <w:tcPr>
            <w:tcW w:w="3402" w:type="dxa"/>
            <w:noWrap/>
            <w:vAlign w:val="center"/>
          </w:tcPr>
          <w:p>
            <w:pPr>
              <w:spacing w:line="560" w:lineRule="exact"/>
              <w:jc w:val="center"/>
              <w:rPr>
                <w:color w:val="C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31" w:type="dxa"/>
            <w:noWrap/>
            <w:vAlign w:val="center"/>
          </w:tcPr>
          <w:p>
            <w:pPr>
              <w:spacing w:line="560" w:lineRule="exact"/>
              <w:jc w:val="center"/>
              <w:rPr>
                <w:b/>
                <w:bCs/>
                <w:sz w:val="28"/>
                <w:szCs w:val="28"/>
              </w:rPr>
            </w:pPr>
            <w:r>
              <w:rPr>
                <w:b/>
                <w:bCs/>
                <w:sz w:val="28"/>
                <w:szCs w:val="28"/>
              </w:rPr>
              <w:t>2</w:t>
            </w:r>
          </w:p>
        </w:tc>
        <w:tc>
          <w:tcPr>
            <w:tcW w:w="2512" w:type="dxa"/>
            <w:noWrap/>
            <w:vAlign w:val="center"/>
          </w:tcPr>
          <w:p>
            <w:pPr>
              <w:spacing w:line="560" w:lineRule="exact"/>
              <w:jc w:val="center"/>
              <w:rPr>
                <w:sz w:val="28"/>
                <w:szCs w:val="28"/>
              </w:rPr>
            </w:pPr>
          </w:p>
        </w:tc>
        <w:tc>
          <w:tcPr>
            <w:tcW w:w="2494"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3402" w:type="dxa"/>
            <w:noWrap/>
            <w:vAlign w:val="center"/>
          </w:tcPr>
          <w:p>
            <w:pPr>
              <w:spacing w:line="5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31" w:type="dxa"/>
            <w:noWrap/>
            <w:vAlign w:val="center"/>
          </w:tcPr>
          <w:p>
            <w:pPr>
              <w:spacing w:line="560" w:lineRule="exact"/>
              <w:jc w:val="center"/>
              <w:rPr>
                <w:b/>
                <w:bCs/>
                <w:sz w:val="28"/>
                <w:szCs w:val="28"/>
              </w:rPr>
            </w:pPr>
            <w:r>
              <w:rPr>
                <w:b/>
                <w:bCs/>
                <w:sz w:val="28"/>
                <w:szCs w:val="28"/>
              </w:rPr>
              <w:t>3</w:t>
            </w:r>
          </w:p>
        </w:tc>
        <w:tc>
          <w:tcPr>
            <w:tcW w:w="2512" w:type="dxa"/>
            <w:noWrap/>
            <w:vAlign w:val="center"/>
          </w:tcPr>
          <w:p>
            <w:pPr>
              <w:spacing w:line="560" w:lineRule="exact"/>
              <w:jc w:val="center"/>
              <w:rPr>
                <w:sz w:val="28"/>
                <w:szCs w:val="28"/>
              </w:rPr>
            </w:pPr>
          </w:p>
        </w:tc>
        <w:tc>
          <w:tcPr>
            <w:tcW w:w="2494"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3402" w:type="dxa"/>
            <w:noWrap/>
            <w:vAlign w:val="center"/>
          </w:tcPr>
          <w:p>
            <w:pPr>
              <w:spacing w:line="5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31" w:type="dxa"/>
            <w:noWrap/>
            <w:vAlign w:val="center"/>
          </w:tcPr>
          <w:p>
            <w:pPr>
              <w:spacing w:line="560" w:lineRule="exact"/>
              <w:jc w:val="center"/>
              <w:rPr>
                <w:b/>
                <w:bCs/>
                <w:sz w:val="28"/>
                <w:szCs w:val="28"/>
              </w:rPr>
            </w:pPr>
            <w:r>
              <w:rPr>
                <w:b/>
                <w:bCs/>
                <w:sz w:val="28"/>
                <w:szCs w:val="28"/>
              </w:rPr>
              <w:t>4</w:t>
            </w:r>
          </w:p>
        </w:tc>
        <w:tc>
          <w:tcPr>
            <w:tcW w:w="2512" w:type="dxa"/>
            <w:noWrap/>
            <w:vAlign w:val="center"/>
          </w:tcPr>
          <w:p>
            <w:pPr>
              <w:spacing w:line="560" w:lineRule="exact"/>
              <w:jc w:val="center"/>
              <w:rPr>
                <w:sz w:val="28"/>
                <w:szCs w:val="28"/>
              </w:rPr>
            </w:pPr>
          </w:p>
        </w:tc>
        <w:tc>
          <w:tcPr>
            <w:tcW w:w="2494"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3402" w:type="dxa"/>
            <w:noWrap/>
            <w:vAlign w:val="center"/>
          </w:tcPr>
          <w:p>
            <w:pPr>
              <w:spacing w:line="5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1" w:type="dxa"/>
            <w:noWrap/>
            <w:vAlign w:val="center"/>
          </w:tcPr>
          <w:p>
            <w:pPr>
              <w:spacing w:line="560" w:lineRule="exact"/>
              <w:jc w:val="center"/>
              <w:rPr>
                <w:b/>
                <w:bCs/>
                <w:sz w:val="28"/>
                <w:szCs w:val="28"/>
              </w:rPr>
            </w:pPr>
            <w:r>
              <w:rPr>
                <w:b/>
                <w:bCs/>
                <w:sz w:val="28"/>
                <w:szCs w:val="28"/>
              </w:rPr>
              <w:t>....</w:t>
            </w:r>
          </w:p>
        </w:tc>
        <w:tc>
          <w:tcPr>
            <w:tcW w:w="2512" w:type="dxa"/>
            <w:noWrap/>
            <w:vAlign w:val="center"/>
          </w:tcPr>
          <w:p>
            <w:pPr>
              <w:spacing w:line="560" w:lineRule="exact"/>
              <w:jc w:val="center"/>
              <w:rPr>
                <w:sz w:val="28"/>
                <w:szCs w:val="28"/>
              </w:rPr>
            </w:pPr>
          </w:p>
        </w:tc>
        <w:tc>
          <w:tcPr>
            <w:tcW w:w="2494"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3402" w:type="dxa"/>
            <w:noWrap/>
            <w:vAlign w:val="center"/>
          </w:tcPr>
          <w:p>
            <w:pPr>
              <w:spacing w:line="560" w:lineRule="exact"/>
              <w:jc w:val="center"/>
              <w:rPr>
                <w:sz w:val="28"/>
                <w:szCs w:val="28"/>
              </w:rPr>
            </w:pPr>
          </w:p>
        </w:tc>
      </w:tr>
    </w:tbl>
    <w:p>
      <w:pPr>
        <w:spacing w:line="540" w:lineRule="exact"/>
        <w:rPr>
          <w:rFonts w:eastAsia="仿宋"/>
          <w:b/>
          <w:bCs/>
          <w:sz w:val="28"/>
          <w:szCs w:val="28"/>
        </w:rPr>
      </w:pPr>
      <w:r>
        <w:rPr>
          <w:rFonts w:eastAsia="仿宋"/>
          <w:b/>
          <w:bCs/>
          <w:sz w:val="28"/>
          <w:szCs w:val="28"/>
        </w:rPr>
        <w:t>注：</w:t>
      </w:r>
      <w:r>
        <w:rPr>
          <w:rFonts w:hint="eastAsia" w:eastAsia="仿宋"/>
          <w:b/>
          <w:bCs/>
          <w:sz w:val="28"/>
          <w:szCs w:val="28"/>
        </w:rPr>
        <w:t>1.本名单为2026年度享受增值税加计抵减政策先进制造业企业中的总公司名单；</w:t>
      </w:r>
    </w:p>
    <w:p>
      <w:pPr>
        <w:spacing w:line="540" w:lineRule="exact"/>
        <w:ind w:firstLine="562" w:firstLineChars="200"/>
        <w:rPr>
          <w:rFonts w:eastAsia="仿宋"/>
          <w:b/>
          <w:bCs/>
          <w:sz w:val="28"/>
          <w:szCs w:val="28"/>
        </w:rPr>
      </w:pPr>
      <w:r>
        <w:rPr>
          <w:rFonts w:hint="eastAsia" w:eastAsia="仿宋"/>
          <w:b/>
          <w:bCs/>
          <w:sz w:val="28"/>
          <w:szCs w:val="28"/>
        </w:rPr>
        <w:t>2</w:t>
      </w:r>
      <w:r>
        <w:rPr>
          <w:rFonts w:eastAsia="仿宋"/>
          <w:b/>
          <w:bCs/>
          <w:sz w:val="28"/>
          <w:szCs w:val="28"/>
        </w:rPr>
        <w:t>.不再享受政策原因包括：A.取消高新技术企业资格；B.其他情况（须注明具体原因）；</w:t>
      </w:r>
    </w:p>
    <w:p>
      <w:pPr>
        <w:spacing w:line="540" w:lineRule="exact"/>
        <w:ind w:firstLine="562" w:firstLineChars="200"/>
        <w:rPr>
          <w:rFonts w:eastAsia="仿宋"/>
          <w:b/>
          <w:bCs/>
          <w:sz w:val="28"/>
          <w:szCs w:val="28"/>
        </w:rPr>
      </w:pPr>
      <w:r>
        <w:rPr>
          <w:rFonts w:hint="eastAsia" w:eastAsia="仿宋"/>
          <w:b/>
          <w:bCs/>
          <w:sz w:val="28"/>
          <w:szCs w:val="28"/>
        </w:rPr>
        <w:t>3</w:t>
      </w:r>
      <w:r>
        <w:rPr>
          <w:rFonts w:eastAsia="仿宋"/>
          <w:b/>
          <w:bCs/>
          <w:sz w:val="28"/>
          <w:szCs w:val="28"/>
        </w:rPr>
        <w:t>. 不再享受政策时间为企业不符合政策条件</w:t>
      </w:r>
      <w:r>
        <w:rPr>
          <w:rFonts w:hint="eastAsia" w:eastAsia="仿宋"/>
          <w:b/>
          <w:bCs/>
          <w:sz w:val="28"/>
          <w:szCs w:val="28"/>
        </w:rPr>
        <w:t>对应年度规定的时限内</w:t>
      </w:r>
      <w:r>
        <w:rPr>
          <w:rFonts w:eastAsia="仿宋"/>
          <w:b/>
          <w:bCs/>
          <w:sz w:val="28"/>
          <w:szCs w:val="28"/>
        </w:rPr>
        <w:t>。</w:t>
      </w:r>
    </w:p>
    <w:p>
      <w:pPr>
        <w:pStyle w:val="2"/>
        <w:adjustRightInd w:val="0"/>
        <w:snapToGrid w:val="0"/>
        <w:spacing w:beforeLines="0" w:afterLines="0" w:line="560" w:lineRule="exact"/>
        <w:rPr>
          <w:rFonts w:ascii="方正小标宋简体" w:hAnsi="方正小标宋简体" w:cs="方正小标宋简体"/>
          <w:szCs w:val="44"/>
        </w:rPr>
      </w:pPr>
      <w:r>
        <w:rPr>
          <w:rFonts w:eastAsia="仿宋"/>
          <w:b/>
          <w:bCs/>
          <w:sz w:val="28"/>
          <w:szCs w:val="28"/>
        </w:rPr>
        <w:br w:type="page"/>
      </w:r>
      <w:r>
        <w:rPr>
          <w:rFonts w:hint="eastAsia" w:ascii="方正小标宋简体" w:hAnsi="方正小标宋简体" w:cs="方正小标宋简体"/>
          <w:szCs w:val="44"/>
        </w:rPr>
        <w:t>不再享受先进制造业企业增值税加计抵减政策名单</w:t>
      </w:r>
      <w:r>
        <w:rPr>
          <w:rFonts w:hint="eastAsia" w:ascii="方正小标宋简体" w:hAnsi="方正小标宋简体" w:cs="方正小标宋简体"/>
          <w:szCs w:val="44"/>
        </w:rPr>
        <w:br w:type="textWrapping"/>
      </w:r>
      <w:r>
        <w:rPr>
          <w:rFonts w:hint="eastAsia" w:ascii="方正小标宋简体" w:hAnsi="方正小标宋简体" w:cs="方正小标宋简体"/>
          <w:szCs w:val="44"/>
        </w:rPr>
        <w:t>（非法人分支机构）</w:t>
      </w:r>
    </w:p>
    <w:p>
      <w:pPr>
        <w:spacing w:line="560" w:lineRule="exact"/>
        <w:jc w:val="center"/>
        <w:rPr>
          <w:rFonts w:eastAsia="黑体"/>
          <w:b/>
          <w:bCs/>
          <w:sz w:val="28"/>
          <w:szCs w:val="28"/>
        </w:rPr>
      </w:pPr>
      <w:r>
        <w:rPr>
          <w:rFonts w:eastAsia="黑体"/>
          <w:sz w:val="28"/>
          <w:szCs w:val="28"/>
        </w:rPr>
        <w:t xml:space="preserve">填报单位（公章）： </w:t>
      </w:r>
      <w:r>
        <w:rPr>
          <w:rFonts w:hint="eastAsia" w:eastAsia="黑体"/>
          <w:sz w:val="28"/>
          <w:szCs w:val="28"/>
        </w:rPr>
        <w:t xml:space="preserve">                       </w:t>
      </w:r>
      <w:r>
        <w:rPr>
          <w:rFonts w:eastAsia="黑体"/>
          <w:sz w:val="28"/>
          <w:szCs w:val="28"/>
        </w:rPr>
        <w:t>填报时间：</w:t>
      </w:r>
      <w:r>
        <w:rPr>
          <w:rFonts w:eastAsia="黑体"/>
          <w:sz w:val="28"/>
          <w:szCs w:val="28"/>
          <w:u w:val="single"/>
        </w:rPr>
        <w:t xml:space="preserve">     年   月   日</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2263"/>
        <w:gridCol w:w="2494"/>
        <w:gridCol w:w="1587"/>
        <w:gridCol w:w="1587"/>
        <w:gridCol w:w="2268"/>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478" w:type="dxa"/>
            <w:noWrap/>
            <w:vAlign w:val="center"/>
          </w:tcPr>
          <w:p>
            <w:pPr>
              <w:spacing w:line="560" w:lineRule="exact"/>
              <w:jc w:val="center"/>
              <w:rPr>
                <w:rFonts w:eastAsia="黑体"/>
                <w:sz w:val="28"/>
                <w:szCs w:val="28"/>
              </w:rPr>
            </w:pPr>
            <w:r>
              <w:rPr>
                <w:rFonts w:eastAsia="黑体"/>
                <w:sz w:val="28"/>
                <w:szCs w:val="28"/>
              </w:rPr>
              <w:t>序号</w:t>
            </w:r>
          </w:p>
        </w:tc>
        <w:tc>
          <w:tcPr>
            <w:tcW w:w="2263" w:type="dxa"/>
            <w:noWrap/>
            <w:vAlign w:val="center"/>
          </w:tcPr>
          <w:p>
            <w:pPr>
              <w:spacing w:line="560" w:lineRule="exact"/>
              <w:jc w:val="center"/>
              <w:rPr>
                <w:rFonts w:eastAsia="黑体"/>
                <w:sz w:val="28"/>
                <w:szCs w:val="28"/>
              </w:rPr>
            </w:pPr>
            <w:r>
              <w:rPr>
                <w:rFonts w:eastAsia="黑体"/>
                <w:sz w:val="28"/>
                <w:szCs w:val="28"/>
              </w:rPr>
              <w:t>非法人分支机构名称</w:t>
            </w:r>
          </w:p>
        </w:tc>
        <w:tc>
          <w:tcPr>
            <w:tcW w:w="2494" w:type="dxa"/>
            <w:noWrap/>
            <w:vAlign w:val="center"/>
          </w:tcPr>
          <w:p>
            <w:pPr>
              <w:spacing w:line="560" w:lineRule="exact"/>
              <w:jc w:val="center"/>
              <w:rPr>
                <w:rFonts w:eastAsia="黑体"/>
                <w:sz w:val="28"/>
                <w:szCs w:val="28"/>
              </w:rPr>
            </w:pPr>
            <w:r>
              <w:rPr>
                <w:rFonts w:eastAsia="黑体"/>
                <w:sz w:val="28"/>
                <w:szCs w:val="28"/>
              </w:rPr>
              <w:t>非法人分支机构统一社会信用代码</w:t>
            </w:r>
          </w:p>
        </w:tc>
        <w:tc>
          <w:tcPr>
            <w:tcW w:w="1587" w:type="dxa"/>
            <w:noWrap/>
            <w:vAlign w:val="center"/>
          </w:tcPr>
          <w:p>
            <w:pPr>
              <w:spacing w:line="560" w:lineRule="exact"/>
              <w:jc w:val="center"/>
              <w:rPr>
                <w:rFonts w:eastAsia="黑体"/>
                <w:sz w:val="28"/>
                <w:szCs w:val="28"/>
              </w:rPr>
            </w:pPr>
            <w:r>
              <w:rPr>
                <w:rFonts w:eastAsia="黑体"/>
                <w:sz w:val="28"/>
                <w:szCs w:val="28"/>
              </w:rPr>
              <w:t>不再享受</w:t>
            </w:r>
            <w:r>
              <w:rPr>
                <w:rFonts w:eastAsia="黑体"/>
                <w:sz w:val="28"/>
                <w:szCs w:val="28"/>
              </w:rPr>
              <w:br w:type="textWrapping"/>
            </w:r>
            <w:r>
              <w:rPr>
                <w:rFonts w:eastAsia="黑体"/>
                <w:sz w:val="28"/>
                <w:szCs w:val="28"/>
              </w:rPr>
              <w:t>政策原因</w:t>
            </w:r>
          </w:p>
        </w:tc>
        <w:tc>
          <w:tcPr>
            <w:tcW w:w="1587" w:type="dxa"/>
            <w:noWrap/>
            <w:vAlign w:val="center"/>
          </w:tcPr>
          <w:p>
            <w:pPr>
              <w:spacing w:line="560" w:lineRule="exact"/>
              <w:jc w:val="center"/>
              <w:rPr>
                <w:rFonts w:eastAsia="黑体"/>
                <w:sz w:val="28"/>
                <w:szCs w:val="28"/>
              </w:rPr>
            </w:pPr>
            <w:r>
              <w:rPr>
                <w:rFonts w:eastAsia="黑体"/>
                <w:sz w:val="28"/>
                <w:szCs w:val="28"/>
              </w:rPr>
              <w:t>不再享受</w:t>
            </w:r>
            <w:r>
              <w:rPr>
                <w:rFonts w:eastAsia="黑体"/>
                <w:sz w:val="28"/>
                <w:szCs w:val="28"/>
              </w:rPr>
              <w:br w:type="textWrapping"/>
            </w:r>
            <w:r>
              <w:rPr>
                <w:rFonts w:eastAsia="黑体"/>
                <w:sz w:val="28"/>
                <w:szCs w:val="28"/>
              </w:rPr>
              <w:t>政策时间</w:t>
            </w:r>
          </w:p>
        </w:tc>
        <w:tc>
          <w:tcPr>
            <w:tcW w:w="2268" w:type="dxa"/>
            <w:noWrap/>
            <w:vAlign w:val="center"/>
          </w:tcPr>
          <w:p>
            <w:pPr>
              <w:spacing w:line="560" w:lineRule="exact"/>
              <w:jc w:val="center"/>
              <w:rPr>
                <w:rFonts w:eastAsia="黑体"/>
                <w:sz w:val="28"/>
                <w:szCs w:val="28"/>
              </w:rPr>
            </w:pPr>
            <w:r>
              <w:rPr>
                <w:rFonts w:eastAsia="黑体"/>
                <w:sz w:val="28"/>
                <w:szCs w:val="28"/>
              </w:rPr>
              <w:t>总公司名称</w:t>
            </w:r>
          </w:p>
        </w:tc>
        <w:tc>
          <w:tcPr>
            <w:tcW w:w="2268" w:type="dxa"/>
            <w:noWrap/>
            <w:vAlign w:val="center"/>
          </w:tcPr>
          <w:p>
            <w:pPr>
              <w:spacing w:line="560" w:lineRule="exact"/>
              <w:jc w:val="center"/>
              <w:rPr>
                <w:rFonts w:eastAsia="黑体"/>
                <w:sz w:val="28"/>
                <w:szCs w:val="28"/>
              </w:rPr>
            </w:pPr>
            <w:r>
              <w:rPr>
                <w:rFonts w:eastAsia="黑体"/>
                <w:sz w:val="28"/>
                <w:szCs w:val="28"/>
              </w:rPr>
              <w:t>总公司统一社会信用代码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78" w:type="dxa"/>
            <w:noWrap/>
            <w:vAlign w:val="center"/>
          </w:tcPr>
          <w:p>
            <w:pPr>
              <w:spacing w:line="560" w:lineRule="exact"/>
              <w:jc w:val="center"/>
              <w:rPr>
                <w:b/>
                <w:bCs/>
                <w:sz w:val="28"/>
                <w:szCs w:val="28"/>
              </w:rPr>
            </w:pPr>
            <w:r>
              <w:rPr>
                <w:b/>
                <w:bCs/>
                <w:sz w:val="28"/>
                <w:szCs w:val="28"/>
              </w:rPr>
              <w:t>1</w:t>
            </w:r>
          </w:p>
        </w:tc>
        <w:tc>
          <w:tcPr>
            <w:tcW w:w="2263" w:type="dxa"/>
            <w:noWrap/>
            <w:vAlign w:val="center"/>
          </w:tcPr>
          <w:p>
            <w:pPr>
              <w:spacing w:line="560" w:lineRule="exact"/>
              <w:jc w:val="center"/>
              <w:rPr>
                <w:color w:val="C00000"/>
                <w:sz w:val="28"/>
                <w:szCs w:val="28"/>
              </w:rPr>
            </w:pPr>
          </w:p>
        </w:tc>
        <w:tc>
          <w:tcPr>
            <w:tcW w:w="2494" w:type="dxa"/>
            <w:noWrap/>
            <w:vAlign w:val="center"/>
          </w:tcPr>
          <w:p>
            <w:pPr>
              <w:spacing w:line="560" w:lineRule="exact"/>
              <w:jc w:val="center"/>
              <w:rPr>
                <w:color w:val="C00000"/>
                <w:sz w:val="28"/>
                <w:szCs w:val="28"/>
              </w:rPr>
            </w:pPr>
          </w:p>
        </w:tc>
        <w:tc>
          <w:tcPr>
            <w:tcW w:w="1587" w:type="dxa"/>
            <w:noWrap/>
            <w:vAlign w:val="center"/>
          </w:tcPr>
          <w:p>
            <w:pPr>
              <w:spacing w:line="560" w:lineRule="exact"/>
              <w:jc w:val="center"/>
              <w:rPr>
                <w:color w:val="C00000"/>
                <w:sz w:val="28"/>
                <w:szCs w:val="28"/>
              </w:rPr>
            </w:pPr>
          </w:p>
        </w:tc>
        <w:tc>
          <w:tcPr>
            <w:tcW w:w="1587" w:type="dxa"/>
            <w:noWrap/>
            <w:vAlign w:val="center"/>
          </w:tcPr>
          <w:p>
            <w:pPr>
              <w:spacing w:line="560" w:lineRule="exact"/>
              <w:jc w:val="center"/>
              <w:rPr>
                <w:color w:val="C00000"/>
                <w:sz w:val="28"/>
                <w:szCs w:val="28"/>
              </w:rPr>
            </w:pPr>
          </w:p>
        </w:tc>
        <w:tc>
          <w:tcPr>
            <w:tcW w:w="2268" w:type="dxa"/>
            <w:noWrap/>
            <w:vAlign w:val="center"/>
          </w:tcPr>
          <w:p>
            <w:pPr>
              <w:spacing w:line="560" w:lineRule="exact"/>
              <w:jc w:val="center"/>
              <w:rPr>
                <w:color w:val="C00000"/>
                <w:sz w:val="28"/>
                <w:szCs w:val="28"/>
              </w:rPr>
            </w:pPr>
          </w:p>
        </w:tc>
        <w:tc>
          <w:tcPr>
            <w:tcW w:w="2268" w:type="dxa"/>
            <w:noWrap/>
            <w:vAlign w:val="center"/>
          </w:tcPr>
          <w:p>
            <w:pPr>
              <w:spacing w:line="560" w:lineRule="exact"/>
              <w:jc w:val="center"/>
              <w:rPr>
                <w:color w:val="C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78" w:type="dxa"/>
            <w:noWrap/>
            <w:vAlign w:val="center"/>
          </w:tcPr>
          <w:p>
            <w:pPr>
              <w:spacing w:line="560" w:lineRule="exact"/>
              <w:jc w:val="center"/>
              <w:rPr>
                <w:b/>
                <w:bCs/>
                <w:sz w:val="28"/>
                <w:szCs w:val="28"/>
              </w:rPr>
            </w:pPr>
            <w:r>
              <w:rPr>
                <w:b/>
                <w:bCs/>
                <w:sz w:val="28"/>
                <w:szCs w:val="28"/>
              </w:rPr>
              <w:t>2</w:t>
            </w:r>
          </w:p>
        </w:tc>
        <w:tc>
          <w:tcPr>
            <w:tcW w:w="2263" w:type="dxa"/>
            <w:noWrap/>
            <w:vAlign w:val="center"/>
          </w:tcPr>
          <w:p>
            <w:pPr>
              <w:spacing w:line="560" w:lineRule="exact"/>
              <w:jc w:val="center"/>
              <w:rPr>
                <w:sz w:val="28"/>
                <w:szCs w:val="28"/>
              </w:rPr>
            </w:pPr>
          </w:p>
        </w:tc>
        <w:tc>
          <w:tcPr>
            <w:tcW w:w="2494"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2268" w:type="dxa"/>
            <w:noWrap/>
            <w:vAlign w:val="center"/>
          </w:tcPr>
          <w:p>
            <w:pPr>
              <w:spacing w:line="560" w:lineRule="exact"/>
              <w:jc w:val="center"/>
              <w:rPr>
                <w:sz w:val="28"/>
                <w:szCs w:val="28"/>
              </w:rPr>
            </w:pPr>
          </w:p>
        </w:tc>
        <w:tc>
          <w:tcPr>
            <w:tcW w:w="2268" w:type="dxa"/>
            <w:noWrap/>
            <w:vAlign w:val="center"/>
          </w:tcPr>
          <w:p>
            <w:pPr>
              <w:spacing w:line="5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78" w:type="dxa"/>
            <w:noWrap/>
            <w:vAlign w:val="center"/>
          </w:tcPr>
          <w:p>
            <w:pPr>
              <w:spacing w:line="560" w:lineRule="exact"/>
              <w:jc w:val="center"/>
              <w:rPr>
                <w:b/>
                <w:bCs/>
                <w:sz w:val="28"/>
                <w:szCs w:val="28"/>
              </w:rPr>
            </w:pPr>
            <w:r>
              <w:rPr>
                <w:b/>
                <w:bCs/>
                <w:sz w:val="28"/>
                <w:szCs w:val="28"/>
              </w:rPr>
              <w:t>3</w:t>
            </w:r>
          </w:p>
        </w:tc>
        <w:tc>
          <w:tcPr>
            <w:tcW w:w="2263" w:type="dxa"/>
            <w:noWrap/>
            <w:vAlign w:val="center"/>
          </w:tcPr>
          <w:p>
            <w:pPr>
              <w:spacing w:line="560" w:lineRule="exact"/>
              <w:jc w:val="center"/>
              <w:rPr>
                <w:sz w:val="28"/>
                <w:szCs w:val="28"/>
              </w:rPr>
            </w:pPr>
          </w:p>
        </w:tc>
        <w:tc>
          <w:tcPr>
            <w:tcW w:w="2494"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2268" w:type="dxa"/>
            <w:noWrap/>
            <w:vAlign w:val="center"/>
          </w:tcPr>
          <w:p>
            <w:pPr>
              <w:spacing w:line="560" w:lineRule="exact"/>
              <w:jc w:val="center"/>
              <w:rPr>
                <w:sz w:val="28"/>
                <w:szCs w:val="28"/>
              </w:rPr>
            </w:pPr>
          </w:p>
        </w:tc>
        <w:tc>
          <w:tcPr>
            <w:tcW w:w="2268" w:type="dxa"/>
            <w:noWrap/>
            <w:vAlign w:val="center"/>
          </w:tcPr>
          <w:p>
            <w:pPr>
              <w:spacing w:line="5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78" w:type="dxa"/>
            <w:noWrap/>
            <w:vAlign w:val="center"/>
          </w:tcPr>
          <w:p>
            <w:pPr>
              <w:spacing w:line="560" w:lineRule="exact"/>
              <w:jc w:val="center"/>
              <w:rPr>
                <w:b/>
                <w:bCs/>
                <w:sz w:val="28"/>
                <w:szCs w:val="28"/>
              </w:rPr>
            </w:pPr>
            <w:r>
              <w:rPr>
                <w:b/>
                <w:bCs/>
                <w:sz w:val="28"/>
                <w:szCs w:val="28"/>
              </w:rPr>
              <w:t>4</w:t>
            </w:r>
          </w:p>
        </w:tc>
        <w:tc>
          <w:tcPr>
            <w:tcW w:w="2263" w:type="dxa"/>
            <w:noWrap/>
            <w:vAlign w:val="center"/>
          </w:tcPr>
          <w:p>
            <w:pPr>
              <w:spacing w:line="560" w:lineRule="exact"/>
              <w:jc w:val="center"/>
              <w:rPr>
                <w:sz w:val="28"/>
                <w:szCs w:val="28"/>
              </w:rPr>
            </w:pPr>
          </w:p>
        </w:tc>
        <w:tc>
          <w:tcPr>
            <w:tcW w:w="2494"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2268" w:type="dxa"/>
            <w:noWrap/>
            <w:vAlign w:val="center"/>
          </w:tcPr>
          <w:p>
            <w:pPr>
              <w:spacing w:line="560" w:lineRule="exact"/>
              <w:jc w:val="center"/>
              <w:rPr>
                <w:sz w:val="28"/>
                <w:szCs w:val="28"/>
              </w:rPr>
            </w:pPr>
          </w:p>
        </w:tc>
        <w:tc>
          <w:tcPr>
            <w:tcW w:w="2268" w:type="dxa"/>
            <w:noWrap/>
            <w:vAlign w:val="center"/>
          </w:tcPr>
          <w:p>
            <w:pPr>
              <w:spacing w:line="5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78" w:type="dxa"/>
            <w:noWrap/>
            <w:vAlign w:val="center"/>
          </w:tcPr>
          <w:p>
            <w:pPr>
              <w:spacing w:line="560" w:lineRule="exact"/>
              <w:jc w:val="center"/>
              <w:rPr>
                <w:b/>
                <w:bCs/>
                <w:sz w:val="28"/>
                <w:szCs w:val="28"/>
              </w:rPr>
            </w:pPr>
            <w:r>
              <w:rPr>
                <w:b/>
                <w:bCs/>
                <w:sz w:val="28"/>
                <w:szCs w:val="28"/>
              </w:rPr>
              <w:t>...</w:t>
            </w:r>
          </w:p>
        </w:tc>
        <w:tc>
          <w:tcPr>
            <w:tcW w:w="2263" w:type="dxa"/>
            <w:noWrap/>
            <w:vAlign w:val="center"/>
          </w:tcPr>
          <w:p>
            <w:pPr>
              <w:spacing w:line="560" w:lineRule="exact"/>
              <w:jc w:val="center"/>
              <w:rPr>
                <w:sz w:val="28"/>
                <w:szCs w:val="28"/>
              </w:rPr>
            </w:pPr>
          </w:p>
        </w:tc>
        <w:tc>
          <w:tcPr>
            <w:tcW w:w="2494"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1587" w:type="dxa"/>
            <w:noWrap/>
            <w:vAlign w:val="center"/>
          </w:tcPr>
          <w:p>
            <w:pPr>
              <w:spacing w:line="560" w:lineRule="exact"/>
              <w:jc w:val="center"/>
              <w:rPr>
                <w:sz w:val="28"/>
                <w:szCs w:val="28"/>
              </w:rPr>
            </w:pPr>
          </w:p>
        </w:tc>
        <w:tc>
          <w:tcPr>
            <w:tcW w:w="2268" w:type="dxa"/>
            <w:noWrap/>
            <w:vAlign w:val="center"/>
          </w:tcPr>
          <w:p>
            <w:pPr>
              <w:spacing w:line="560" w:lineRule="exact"/>
              <w:jc w:val="center"/>
              <w:rPr>
                <w:sz w:val="28"/>
                <w:szCs w:val="28"/>
              </w:rPr>
            </w:pPr>
          </w:p>
        </w:tc>
        <w:tc>
          <w:tcPr>
            <w:tcW w:w="2268" w:type="dxa"/>
            <w:noWrap/>
            <w:vAlign w:val="center"/>
          </w:tcPr>
          <w:p>
            <w:pPr>
              <w:spacing w:line="560" w:lineRule="exact"/>
              <w:jc w:val="center"/>
              <w:rPr>
                <w:sz w:val="28"/>
                <w:szCs w:val="28"/>
              </w:rPr>
            </w:pPr>
          </w:p>
        </w:tc>
      </w:tr>
    </w:tbl>
    <w:p>
      <w:pPr>
        <w:spacing w:line="560" w:lineRule="exact"/>
        <w:rPr>
          <w:rFonts w:eastAsia="黑体"/>
          <w:b/>
          <w:bCs/>
          <w:sz w:val="28"/>
          <w:szCs w:val="28"/>
        </w:rPr>
      </w:pPr>
    </w:p>
    <w:p>
      <w:pPr>
        <w:spacing w:line="560" w:lineRule="exact"/>
        <w:rPr>
          <w:rFonts w:eastAsia="仿宋"/>
          <w:b/>
          <w:bCs/>
          <w:sz w:val="28"/>
          <w:szCs w:val="28"/>
        </w:rPr>
      </w:pPr>
      <w:r>
        <w:rPr>
          <w:rFonts w:eastAsia="仿宋"/>
          <w:b/>
          <w:bCs/>
          <w:sz w:val="28"/>
          <w:szCs w:val="28"/>
        </w:rPr>
        <w:t>注：</w:t>
      </w:r>
      <w:r>
        <w:rPr>
          <w:rFonts w:hint="eastAsia" w:eastAsia="仿宋"/>
          <w:b/>
          <w:bCs/>
          <w:sz w:val="28"/>
          <w:szCs w:val="28"/>
        </w:rPr>
        <w:t>1.本名单为2026年度享受增值税加计抵减政策先进制造业企业中的非法人分支机构名单；</w:t>
      </w:r>
    </w:p>
    <w:p>
      <w:pPr>
        <w:spacing w:line="560" w:lineRule="exact"/>
        <w:ind w:firstLine="562" w:firstLineChars="200"/>
        <w:rPr>
          <w:rFonts w:eastAsia="仿宋"/>
          <w:b/>
          <w:bCs/>
          <w:sz w:val="28"/>
          <w:szCs w:val="28"/>
        </w:rPr>
      </w:pPr>
      <w:r>
        <w:rPr>
          <w:rFonts w:hint="eastAsia" w:eastAsia="仿宋"/>
          <w:b/>
          <w:bCs/>
          <w:sz w:val="28"/>
          <w:szCs w:val="28"/>
        </w:rPr>
        <w:t>2</w:t>
      </w:r>
      <w:r>
        <w:rPr>
          <w:rFonts w:eastAsia="仿宋"/>
          <w:b/>
          <w:bCs/>
          <w:sz w:val="28"/>
          <w:szCs w:val="28"/>
        </w:rPr>
        <w:t>.不再享受政策原因包括：A.总公司被取消高新技术企业资格；B.其他情况（须注明具体原因）；</w:t>
      </w:r>
    </w:p>
    <w:p>
      <w:pPr>
        <w:spacing w:line="560" w:lineRule="exact"/>
        <w:ind w:firstLine="562" w:firstLineChars="200"/>
        <w:rPr>
          <w:rFonts w:ascii="仿宋_GB2312" w:hAnsi="仿宋_GB2312" w:eastAsia="仿宋_GB2312" w:cs="仿宋_GB2312"/>
          <w:color w:val="000000"/>
          <w:spacing w:val="8"/>
          <w:szCs w:val="32"/>
          <w:shd w:val="clear" w:color="auto" w:fill="FFFFFF"/>
        </w:rPr>
      </w:pPr>
      <w:r>
        <w:rPr>
          <w:rFonts w:hint="eastAsia" w:eastAsia="仿宋"/>
          <w:b/>
          <w:bCs/>
          <w:sz w:val="28"/>
          <w:szCs w:val="28"/>
        </w:rPr>
        <w:t>3</w:t>
      </w:r>
      <w:r>
        <w:rPr>
          <w:rFonts w:eastAsia="仿宋"/>
          <w:b/>
          <w:bCs/>
          <w:sz w:val="28"/>
          <w:szCs w:val="28"/>
        </w:rPr>
        <w:t>. 不再享受政策时间为企业不符合政策条件</w:t>
      </w:r>
      <w:r>
        <w:rPr>
          <w:rFonts w:hint="eastAsia" w:eastAsia="仿宋"/>
          <w:b/>
          <w:bCs/>
          <w:sz w:val="28"/>
          <w:szCs w:val="28"/>
        </w:rPr>
        <w:t>对应年度规定的时限内</w:t>
      </w:r>
      <w:r>
        <w:rPr>
          <w:rFonts w:eastAsia="仿宋"/>
          <w:b/>
          <w:bCs/>
          <w:sz w:val="28"/>
          <w:szCs w:val="28"/>
        </w:rPr>
        <w:t>。</w:t>
      </w:r>
    </w:p>
    <w:sectPr>
      <w:footerReference r:id="rId3" w:type="default"/>
      <w:pgSz w:w="16838" w:h="11906" w:orient="landscape"/>
      <w:pgMar w:top="1474" w:right="1531" w:bottom="1474" w:left="1531" w:header="851" w:footer="992" w:gutter="0"/>
      <w:cols w:space="0" w:num="1"/>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script"/>
    <w:pitch w:val="default"/>
    <w:sig w:usb0="00000001" w:usb1="080E0000" w:usb2="00000000" w:usb3="00000000" w:csb0="00040000" w:csb1="00000000"/>
  </w:font>
  <w:font w:name="方正小标宋简体">
    <w:panose1 w:val="02000000000000000000"/>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MS Mincho">
    <w:altName w:val="Meiryo UI"/>
    <w:panose1 w:val="02020609040205080304"/>
    <w:charset w:val="80"/>
    <w:family w:val="modern"/>
    <w:pitch w:val="default"/>
    <w:sig w:usb0="00000000" w:usb1="00000000" w:usb2="00000012" w:usb3="00000000" w:csb0="000200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eiryo UI">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-219075</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179999" tIns="0" rIns="179999" bIns="0" anchor="t" anchorCtr="0" upright="0">
                      <a:spAutoFit/>
                    </wps:bodyPr>
                  </wps:wsp>
                </a:graphicData>
              </a:graphic>
            </wp:anchor>
          </w:drawing>
        </mc:Choice>
        <mc:Fallback>
          <w:pict>
            <v:shape id="文本框 2" o:spid="_x0000_s1026" o:spt="202" type="#_x0000_t202" style="position:absolute;left:0pt;margin-top:-17.25pt;height:144pt;width:144pt;mso-position-horizontal:center;mso-position-horizontal-relative:margin;mso-wrap-style:none;z-index:251659264;mso-width-relative:page;mso-height-relative:page;" filled="f" stroked="f" coordsize="21600,21600" o:gfxdata="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Rz6ojZAAAACAEAAA8AAAAAAAAAAQAgAAAAIgAAAGRycy9kb3ducmV2LnhtbFBLAQIU&#10;ABQAAAAIAIdO4kDKrTq18gEAAOADAAAOAAAAAAAAAAEAIAAAACgBAABkcnMvZTJvRG9jLnhtbFBL&#10;BQYAAAAABgAGAFkBAACMBQAAAAA=&#10;">
              <v:fill on="f" focussize="0,0"/>
              <v:stroke on="f" weight="1.25pt"/>
              <v:imagedata o:title=""/>
              <o:lock v:ext="edit" aspectratio="f"/>
              <v:textbox inset="14.1731496062992pt,0mm,14.1731496062992pt,0mm" style="mso-fit-shape-to-text:t;">
                <w:txbxContent>
                  <w:p>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dit="readOnly" w:enforcement="0"/>
  <w:defaultTabStop w:val="420"/>
  <w:drawingGridHorizontalSpacing w:val="160"/>
  <w:drawingGridVerticalSpacing w:val="224"/>
  <w:displayVerticalDrawingGridEvery w:val="2"/>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3ZjIyMGUzY2IwZWYzNjMzZmExYzM4YjE5OTgyNmYifQ=="/>
  </w:docVars>
  <w:rsids>
    <w:rsidRoot w:val="00172A27"/>
    <w:rsid w:val="0005209D"/>
    <w:rsid w:val="00105461"/>
    <w:rsid w:val="001528C9"/>
    <w:rsid w:val="00172A27"/>
    <w:rsid w:val="0018137C"/>
    <w:rsid w:val="00286608"/>
    <w:rsid w:val="003C0D81"/>
    <w:rsid w:val="003C138A"/>
    <w:rsid w:val="00474706"/>
    <w:rsid w:val="005C54CE"/>
    <w:rsid w:val="006F4E72"/>
    <w:rsid w:val="0083224B"/>
    <w:rsid w:val="00881B0E"/>
    <w:rsid w:val="00963BF9"/>
    <w:rsid w:val="00971780"/>
    <w:rsid w:val="009F7DC8"/>
    <w:rsid w:val="00A675CA"/>
    <w:rsid w:val="00B369E5"/>
    <w:rsid w:val="00B92640"/>
    <w:rsid w:val="00CE75C7"/>
    <w:rsid w:val="00F225B9"/>
    <w:rsid w:val="00FB10A3"/>
    <w:rsid w:val="00FC28CD"/>
    <w:rsid w:val="0223543D"/>
    <w:rsid w:val="08185D8F"/>
    <w:rsid w:val="0D99235D"/>
    <w:rsid w:val="0F512094"/>
    <w:rsid w:val="177FABE0"/>
    <w:rsid w:val="17EFE92A"/>
    <w:rsid w:val="199F0CF8"/>
    <w:rsid w:val="1A63133D"/>
    <w:rsid w:val="1E8B4DB2"/>
    <w:rsid w:val="1F135208"/>
    <w:rsid w:val="226715E5"/>
    <w:rsid w:val="2BF7E639"/>
    <w:rsid w:val="2CF72935"/>
    <w:rsid w:val="2D397B88"/>
    <w:rsid w:val="31191065"/>
    <w:rsid w:val="314D409C"/>
    <w:rsid w:val="33340073"/>
    <w:rsid w:val="33A11C48"/>
    <w:rsid w:val="33FE8EE4"/>
    <w:rsid w:val="37910916"/>
    <w:rsid w:val="380B159F"/>
    <w:rsid w:val="3BD8649F"/>
    <w:rsid w:val="3BF9B00D"/>
    <w:rsid w:val="3C6E4D87"/>
    <w:rsid w:val="3E5C68C8"/>
    <w:rsid w:val="3FDFD6DC"/>
    <w:rsid w:val="3FFF5A07"/>
    <w:rsid w:val="41D165E8"/>
    <w:rsid w:val="44987D24"/>
    <w:rsid w:val="452819A8"/>
    <w:rsid w:val="47223079"/>
    <w:rsid w:val="497FFDAE"/>
    <w:rsid w:val="49F4533E"/>
    <w:rsid w:val="4A7442BD"/>
    <w:rsid w:val="4AF2226F"/>
    <w:rsid w:val="4BFF006D"/>
    <w:rsid w:val="4C200663"/>
    <w:rsid w:val="5413297B"/>
    <w:rsid w:val="5DEFB6CF"/>
    <w:rsid w:val="5E8C14B0"/>
    <w:rsid w:val="61B71C1E"/>
    <w:rsid w:val="6A371372"/>
    <w:rsid w:val="6BB362CE"/>
    <w:rsid w:val="6BFC1A3D"/>
    <w:rsid w:val="6FAD8A2A"/>
    <w:rsid w:val="6FEFB0C0"/>
    <w:rsid w:val="75306BE1"/>
    <w:rsid w:val="7757BE34"/>
    <w:rsid w:val="77955421"/>
    <w:rsid w:val="77DB4927"/>
    <w:rsid w:val="78592CC8"/>
    <w:rsid w:val="79FE0FB6"/>
    <w:rsid w:val="7B2F11C4"/>
    <w:rsid w:val="7EFC6B2A"/>
    <w:rsid w:val="7F5B8A90"/>
    <w:rsid w:val="7FBFB100"/>
    <w:rsid w:val="7FE7B026"/>
    <w:rsid w:val="7FEF23B5"/>
    <w:rsid w:val="7FF74B01"/>
    <w:rsid w:val="8127AB01"/>
    <w:rsid w:val="9F7B3DF3"/>
    <w:rsid w:val="A53F6F4D"/>
    <w:rsid w:val="B6D773B1"/>
    <w:rsid w:val="BBBF27AB"/>
    <w:rsid w:val="BFDEA604"/>
    <w:rsid w:val="BFEE61CD"/>
    <w:rsid w:val="D7DE7137"/>
    <w:rsid w:val="D7FF484B"/>
    <w:rsid w:val="DFDDCBDA"/>
    <w:rsid w:val="E19ADA55"/>
    <w:rsid w:val="E7EA0073"/>
    <w:rsid w:val="EFB7913A"/>
    <w:rsid w:val="EFDF8B00"/>
    <w:rsid w:val="EFFF72C6"/>
    <w:rsid w:val="F32B926F"/>
    <w:rsid w:val="F7948083"/>
    <w:rsid w:val="F7AF2761"/>
    <w:rsid w:val="F96F58DD"/>
    <w:rsid w:val="FBE74C5C"/>
    <w:rsid w:val="FBE79F1E"/>
    <w:rsid w:val="FBF71FBF"/>
    <w:rsid w:val="FE7C4C6A"/>
    <w:rsid w:val="FF3F5180"/>
    <w:rsid w:val="FF7E1E2F"/>
    <w:rsid w:val="FF7E90CF"/>
    <w:rsid w:val="FFFEA5C3"/>
    <w:rsid w:val="FFFFD2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szCs w:val="24"/>
      <w:lang w:val="en-US" w:eastAsia="zh-CN" w:bidi="ar-SA"/>
    </w:rPr>
  </w:style>
  <w:style w:type="paragraph" w:styleId="2">
    <w:name w:val="heading 1"/>
    <w:basedOn w:val="1"/>
    <w:next w:val="1"/>
    <w:qFormat/>
    <w:uiPriority w:val="0"/>
    <w:pPr>
      <w:keepNext/>
      <w:keepLines/>
      <w:spacing w:beforeLines="150" w:afterLines="100" w:line="600" w:lineRule="exact"/>
      <w:jc w:val="center"/>
      <w:outlineLvl w:val="0"/>
    </w:pPr>
    <w:rPr>
      <w:rFonts w:eastAsia="方正小标宋简体"/>
      <w:kern w:val="44"/>
      <w:sz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index 6"/>
    <w:next w:val="1"/>
    <w:unhideWhenUsed/>
    <w:qFormat/>
    <w:uiPriority w:val="99"/>
    <w:pPr>
      <w:widowControl w:val="0"/>
      <w:ind w:left="2100"/>
      <w:jc w:val="both"/>
    </w:pPr>
    <w:rPr>
      <w:rFonts w:ascii="Times New Roman" w:hAnsi="Times New Roman" w:eastAsia="宋体" w:cs="Times New Roman"/>
      <w:kern w:val="2"/>
      <w:sz w:val="21"/>
      <w:szCs w:val="24"/>
      <w:lang w:val="en-US" w:eastAsia="zh-CN" w:bidi="ar-SA"/>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kern w:val="0"/>
      <w:sz w:val="24"/>
    </w:rPr>
  </w:style>
  <w:style w:type="paragraph" w:styleId="9">
    <w:name w:val="Body Text First Indent 2"/>
    <w:next w:val="4"/>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table" w:styleId="11">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3709</Words>
  <Characters>3949</Characters>
  <Lines>36</Lines>
  <Paragraphs>10</Paragraphs>
  <TotalTime>66</TotalTime>
  <ScaleCrop>false</ScaleCrop>
  <LinksUpToDate>false</LinksUpToDate>
  <CharactersWithSpaces>3986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2026-09-22T02:28:00Z</dcterms:created>
  <dc:creator>jane</dc:creator>
  <cp:lastModifiedBy>ㅤㅤ</cp:lastModifiedBy>
  <cp:lastPrinted>2026-09-23T02:10:00Z</cp:lastPrinted>
  <dcterms:modified xsi:type="dcterms:W3CDTF">2026-10-12T08:14:04Z</dcterms:modified>
  <dc:title>福建省经济贸易委员会</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AF265ECE8CC34C7E997577D5AFDDD72E_13</vt:lpwstr>
  </property>
  <property fmtid="{D5CDD505-2E9C-101B-9397-08002B2CF9AE}" pid="4" name="KSOTemplateDocerSaveRecord">
    <vt:lpwstr>eyJoZGlkIjoiMmI4ZjdlMzQzMWU3YjhiZDY2MjBhYzQ3MzNhYjYyNjEiLCJ1c2VySWQiOiIxMjkxODQ3MDcyIn0=</vt:lpwstr>
  </property>
</Properties>
</file>